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AB1D09" w:rsidRPr="00C52555" w:rsidTr="00D41CB2">
        <w:tc>
          <w:tcPr>
            <w:tcW w:w="11016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0F243E" w:themeFill="text2" w:themeFillShade="80"/>
            <w:vAlign w:val="center"/>
          </w:tcPr>
          <w:p w:rsidR="00D41CB2" w:rsidRDefault="00AB1D09" w:rsidP="00C52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C52555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PERFORMANCE MEASURE </w:t>
            </w:r>
          </w:p>
          <w:p w:rsidR="00AB1D09" w:rsidRPr="00C52555" w:rsidRDefault="00D41CB2" w:rsidP="00C52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TASK </w:t>
            </w:r>
            <w:r w:rsidR="00AB1D09" w:rsidRPr="00C52555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FRAMEWORK TEMPLATE</w:t>
            </w:r>
          </w:p>
          <w:p w:rsidR="00AB1D09" w:rsidRPr="00C52555" w:rsidRDefault="00AB1D09" w:rsidP="00C52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2"/>
                <w:szCs w:val="12"/>
              </w:rPr>
            </w:pPr>
          </w:p>
          <w:p w:rsidR="00AB1D09" w:rsidRPr="00C52555" w:rsidRDefault="00D41CB2" w:rsidP="00C52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This template is used to organize performance tasks used in the SLO process</w:t>
            </w:r>
            <w:r w:rsidR="00AB1D09" w:rsidRPr="00C52555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. </w:t>
            </w:r>
          </w:p>
          <w:p w:rsidR="00AB1D09" w:rsidRPr="00C52555" w:rsidRDefault="00AB1D09" w:rsidP="00C52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</w:tbl>
    <w:p w:rsidR="00AB1D09" w:rsidRDefault="00AB1D09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B1D09" w:rsidRDefault="00AB1D09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B1D09" w:rsidRPr="00EE4D08" w:rsidRDefault="00AB1D09" w:rsidP="003F5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070"/>
        <w:gridCol w:w="3960"/>
        <w:gridCol w:w="540"/>
        <w:gridCol w:w="1170"/>
        <w:gridCol w:w="2718"/>
      </w:tblGrid>
      <w:tr w:rsidR="00AB1D09" w:rsidRPr="00EE4D08" w:rsidTr="00EE4D08">
        <w:trPr>
          <w:trHeight w:val="296"/>
        </w:trPr>
        <w:tc>
          <w:tcPr>
            <w:tcW w:w="11016" w:type="dxa"/>
            <w:gridSpan w:val="6"/>
            <w:shd w:val="clear" w:color="auto" w:fill="8DB3E2"/>
          </w:tcPr>
          <w:p w:rsidR="00AB1D09" w:rsidRPr="00EE4D08" w:rsidRDefault="00AB1D09" w:rsidP="00C52555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Performance Measure</w:t>
            </w:r>
          </w:p>
        </w:tc>
      </w:tr>
      <w:tr w:rsidR="00AB1D09" w:rsidRPr="00C52555">
        <w:trPr>
          <w:trHeight w:val="506"/>
        </w:trPr>
        <w:tc>
          <w:tcPr>
            <w:tcW w:w="558" w:type="dxa"/>
            <w:shd w:val="clear" w:color="auto" w:fill="8DB3E2"/>
            <w:vAlign w:val="center"/>
          </w:tcPr>
          <w:p w:rsidR="00AB1D09" w:rsidRPr="00EE4D08" w:rsidRDefault="00AB1D09" w:rsidP="00C525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a.</w:t>
            </w:r>
          </w:p>
        </w:tc>
        <w:tc>
          <w:tcPr>
            <w:tcW w:w="2070" w:type="dxa"/>
            <w:shd w:val="clear" w:color="auto" w:fill="DBE5F1"/>
            <w:vAlign w:val="center"/>
          </w:tcPr>
          <w:p w:rsidR="00AB1D09" w:rsidRPr="00EE4D08" w:rsidRDefault="00AB1D09" w:rsidP="00C525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Performance Measure Name</w:t>
            </w:r>
          </w:p>
        </w:tc>
        <w:tc>
          <w:tcPr>
            <w:tcW w:w="8388" w:type="dxa"/>
            <w:gridSpan w:val="4"/>
            <w:vAlign w:val="center"/>
          </w:tcPr>
          <w:p w:rsidR="00AB1D09" w:rsidRPr="002669C2" w:rsidRDefault="005B464C" w:rsidP="00C5255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Classroom Diagnostic Tools – Algebra I</w:t>
            </w:r>
          </w:p>
        </w:tc>
      </w:tr>
      <w:tr w:rsidR="00AB1D09" w:rsidRPr="00C52555" w:rsidTr="00EE4D08">
        <w:trPr>
          <w:trHeight w:val="368"/>
        </w:trPr>
        <w:tc>
          <w:tcPr>
            <w:tcW w:w="11016" w:type="dxa"/>
            <w:gridSpan w:val="6"/>
            <w:shd w:val="clear" w:color="auto" w:fill="8DB3E2"/>
            <w:vAlign w:val="center"/>
          </w:tcPr>
          <w:p w:rsidR="00AB1D09" w:rsidRPr="00EE4D08" w:rsidRDefault="00EE4D08" w:rsidP="00C52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SLO </w:t>
            </w:r>
            <w:r w:rsidR="00AB1D09" w:rsidRPr="00EE4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Alignment</w:t>
            </w:r>
          </w:p>
        </w:tc>
      </w:tr>
      <w:tr w:rsidR="00AB1D09" w:rsidRPr="00C52555" w:rsidTr="000C68B4">
        <w:trPr>
          <w:trHeight w:val="506"/>
        </w:trPr>
        <w:tc>
          <w:tcPr>
            <w:tcW w:w="558" w:type="dxa"/>
            <w:shd w:val="clear" w:color="auto" w:fill="8DB3E2"/>
            <w:vAlign w:val="center"/>
          </w:tcPr>
          <w:p w:rsidR="00AB1D09" w:rsidRPr="00EE4D08" w:rsidRDefault="00AB1D09" w:rsidP="00C525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b.</w:t>
            </w:r>
          </w:p>
        </w:tc>
        <w:tc>
          <w:tcPr>
            <w:tcW w:w="2070" w:type="dxa"/>
            <w:shd w:val="clear" w:color="auto" w:fill="DBE5F1"/>
            <w:vAlign w:val="center"/>
          </w:tcPr>
          <w:p w:rsidR="00AB1D09" w:rsidRPr="00EE4D08" w:rsidRDefault="002669C2" w:rsidP="00C525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Class/</w:t>
            </w:r>
            <w:r w:rsidR="00AB1D09" w:rsidRPr="00EE4D08"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3960" w:type="dxa"/>
            <w:vAlign w:val="center"/>
          </w:tcPr>
          <w:p w:rsidR="00AB1D09" w:rsidRPr="00EE4D08" w:rsidRDefault="005B464C" w:rsidP="00C52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Algebra I</w:t>
            </w:r>
          </w:p>
        </w:tc>
        <w:tc>
          <w:tcPr>
            <w:tcW w:w="540" w:type="dxa"/>
            <w:shd w:val="clear" w:color="auto" w:fill="8DB3E2"/>
            <w:vAlign w:val="center"/>
          </w:tcPr>
          <w:p w:rsidR="00AB1D09" w:rsidRPr="00EE4D08" w:rsidRDefault="00AB1D09" w:rsidP="00C525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 xml:space="preserve">c.  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AB1D09" w:rsidRPr="00EE4D08" w:rsidRDefault="00AB1D09" w:rsidP="00C525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Grade(s)/ Level</w:t>
            </w:r>
          </w:p>
        </w:tc>
        <w:tc>
          <w:tcPr>
            <w:tcW w:w="2718" w:type="dxa"/>
            <w:vAlign w:val="center"/>
          </w:tcPr>
          <w:p w:rsidR="00AB1D09" w:rsidRPr="00EE4D08" w:rsidRDefault="005B464C" w:rsidP="00C52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</w:tr>
      <w:tr w:rsidR="00AB1D09" w:rsidRPr="00C52555">
        <w:trPr>
          <w:trHeight w:val="506"/>
        </w:trPr>
        <w:tc>
          <w:tcPr>
            <w:tcW w:w="558" w:type="dxa"/>
            <w:shd w:val="clear" w:color="auto" w:fill="8DB3E2"/>
            <w:vAlign w:val="center"/>
          </w:tcPr>
          <w:p w:rsidR="00AB1D09" w:rsidRPr="00EE4D08" w:rsidRDefault="00AB1D09" w:rsidP="00C525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d.</w:t>
            </w:r>
          </w:p>
        </w:tc>
        <w:tc>
          <w:tcPr>
            <w:tcW w:w="2070" w:type="dxa"/>
            <w:shd w:val="clear" w:color="auto" w:fill="DBE5F1"/>
            <w:vAlign w:val="center"/>
          </w:tcPr>
          <w:p w:rsidR="00AB1D09" w:rsidRPr="00EE4D08" w:rsidRDefault="00AB1D09" w:rsidP="00C525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PA Standards</w:t>
            </w:r>
          </w:p>
        </w:tc>
        <w:tc>
          <w:tcPr>
            <w:tcW w:w="8388" w:type="dxa"/>
            <w:gridSpan w:val="4"/>
            <w:vAlign w:val="center"/>
          </w:tcPr>
          <w:p w:rsidR="00AB1D09" w:rsidRPr="00EE4D08" w:rsidRDefault="005B464C" w:rsidP="00C52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Pennsylvania Core Standards – Mathematics: CC.2.1.HS.F.1, CC.2.1.HS.F.2, CC.2.2.HS.D.1, CC.2.2.HS.D.2, CC.2.2.HS.D.3, CC.2.2.HS.D.5, CC.2.2.HS.D.6, CC.2.2.HS.D.9</w:t>
            </w:r>
          </w:p>
        </w:tc>
      </w:tr>
      <w:tr w:rsidR="00AB1D09" w:rsidRPr="00C52555" w:rsidTr="00EE4D08">
        <w:trPr>
          <w:trHeight w:val="63"/>
        </w:trPr>
        <w:tc>
          <w:tcPr>
            <w:tcW w:w="558" w:type="dxa"/>
            <w:shd w:val="clear" w:color="auto" w:fill="8DB3E2"/>
            <w:vAlign w:val="center"/>
          </w:tcPr>
          <w:p w:rsidR="00AB1D09" w:rsidRPr="00EE4D08" w:rsidRDefault="00AB1D09" w:rsidP="00C525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e.</w:t>
            </w:r>
          </w:p>
        </w:tc>
        <w:tc>
          <w:tcPr>
            <w:tcW w:w="2070" w:type="dxa"/>
            <w:shd w:val="clear" w:color="auto" w:fill="DBE5F1"/>
            <w:vAlign w:val="center"/>
          </w:tcPr>
          <w:p w:rsidR="00AB1D09" w:rsidRPr="00EE4D08" w:rsidRDefault="00AB1D09" w:rsidP="00C525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 xml:space="preserve">Performance Measure Purpose  </w:t>
            </w:r>
          </w:p>
        </w:tc>
        <w:tc>
          <w:tcPr>
            <w:tcW w:w="8388" w:type="dxa"/>
            <w:gridSpan w:val="4"/>
            <w:vAlign w:val="center"/>
          </w:tcPr>
          <w:p w:rsidR="00AB1D09" w:rsidRPr="00EE4D08" w:rsidRDefault="005B464C" w:rsidP="00C52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Measures student understanding of the </w:t>
            </w:r>
            <w:r w:rsidR="00352B31">
              <w:rPr>
                <w:rFonts w:ascii="Times New Roman" w:hAnsi="Times New Roman" w:cs="Times New Roman"/>
              </w:rPr>
              <w:t xml:space="preserve">PA Core </w:t>
            </w:r>
            <w:r>
              <w:rPr>
                <w:rFonts w:ascii="Times New Roman" w:hAnsi="Times New Roman" w:cs="Times New Roman"/>
              </w:rPr>
              <w:t>Algebra I Standards and Assessment Anchors/Eligible Content for Algebra I using multiple-choice items.</w:t>
            </w:r>
          </w:p>
        </w:tc>
      </w:tr>
    </w:tbl>
    <w:p w:rsidR="00AB1D09" w:rsidRPr="0047066B" w:rsidRDefault="00AB1D09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070"/>
        <w:gridCol w:w="8388"/>
      </w:tblGrid>
      <w:tr w:rsidR="00AB1D09" w:rsidRPr="00C52555">
        <w:trPr>
          <w:trHeight w:val="332"/>
        </w:trPr>
        <w:tc>
          <w:tcPr>
            <w:tcW w:w="11016" w:type="dxa"/>
            <w:gridSpan w:val="3"/>
            <w:shd w:val="clear" w:color="auto" w:fill="8DB3E2"/>
          </w:tcPr>
          <w:p w:rsidR="00AB1D09" w:rsidRPr="00EE4D08" w:rsidRDefault="00AB1D09" w:rsidP="00C5255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Administration (Teacher)</w:t>
            </w:r>
          </w:p>
        </w:tc>
      </w:tr>
      <w:tr w:rsidR="00AB1D09" w:rsidRPr="00C52555">
        <w:trPr>
          <w:trHeight w:val="530"/>
        </w:trPr>
        <w:tc>
          <w:tcPr>
            <w:tcW w:w="558" w:type="dxa"/>
            <w:shd w:val="clear" w:color="auto" w:fill="8DB3E2"/>
            <w:vAlign w:val="center"/>
          </w:tcPr>
          <w:p w:rsidR="00AB1D09" w:rsidRPr="00EE4D08" w:rsidRDefault="00AB1D09" w:rsidP="00C525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1a.</w:t>
            </w:r>
          </w:p>
        </w:tc>
        <w:tc>
          <w:tcPr>
            <w:tcW w:w="2070" w:type="dxa"/>
            <w:shd w:val="clear" w:color="auto" w:fill="DBE5F1"/>
            <w:vAlign w:val="center"/>
          </w:tcPr>
          <w:p w:rsidR="00AB1D09" w:rsidRPr="00EE4D08" w:rsidRDefault="00AB1D09" w:rsidP="00C52555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Administration Frequency</w:t>
            </w:r>
          </w:p>
        </w:tc>
        <w:tc>
          <w:tcPr>
            <w:tcW w:w="8388" w:type="dxa"/>
            <w:vAlign w:val="center"/>
          </w:tcPr>
          <w:p w:rsidR="00AB1D09" w:rsidRPr="00EE4D08" w:rsidRDefault="005B464C" w:rsidP="00C52555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times per year</w:t>
            </w:r>
          </w:p>
        </w:tc>
      </w:tr>
      <w:tr w:rsidR="00AB1D09" w:rsidRPr="00C52555">
        <w:trPr>
          <w:trHeight w:val="498"/>
        </w:trPr>
        <w:tc>
          <w:tcPr>
            <w:tcW w:w="558" w:type="dxa"/>
            <w:shd w:val="clear" w:color="auto" w:fill="8DB3E2"/>
            <w:vAlign w:val="center"/>
          </w:tcPr>
          <w:p w:rsidR="00AB1D09" w:rsidRPr="00EE4D08" w:rsidRDefault="00AB1D09" w:rsidP="00C52555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1b.</w:t>
            </w:r>
          </w:p>
        </w:tc>
        <w:tc>
          <w:tcPr>
            <w:tcW w:w="2070" w:type="dxa"/>
            <w:shd w:val="clear" w:color="auto" w:fill="DBE5F1"/>
            <w:vAlign w:val="center"/>
          </w:tcPr>
          <w:p w:rsidR="00D41CB2" w:rsidRPr="00EE4D08" w:rsidRDefault="00AB1D09" w:rsidP="00D41CB2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Unique Task Adaptations/</w:t>
            </w:r>
          </w:p>
          <w:p w:rsidR="00AB1D09" w:rsidRPr="00EE4D08" w:rsidRDefault="00AB1D09" w:rsidP="00D41CB2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Accommodations</w:t>
            </w:r>
          </w:p>
        </w:tc>
        <w:tc>
          <w:tcPr>
            <w:tcW w:w="8388" w:type="dxa"/>
            <w:vAlign w:val="center"/>
          </w:tcPr>
          <w:p w:rsidR="00AB1D09" w:rsidRDefault="00CA0FBC" w:rsidP="00C52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CDT is administered online. Prior to administration, teachers must be</w:t>
            </w:r>
            <w:r w:rsidR="002E787A">
              <w:rPr>
                <w:rFonts w:ascii="Times New Roman" w:hAnsi="Times New Roman" w:cs="Times New Roman"/>
              </w:rPr>
              <w:t>come familiar with the CDT User</w:t>
            </w:r>
            <w:r>
              <w:rPr>
                <w:rFonts w:ascii="Times New Roman" w:hAnsi="Times New Roman" w:cs="Times New Roman"/>
              </w:rPr>
              <w:t xml:space="preserve"> Guide. As part of administration, a student test ticket or login ticket must be established. </w:t>
            </w:r>
            <w:r w:rsidR="005B464C">
              <w:rPr>
                <w:rFonts w:ascii="Times New Roman" w:hAnsi="Times New Roman" w:cs="Times New Roman"/>
              </w:rPr>
              <w:t xml:space="preserve">Accommodations will be identified for individual students based on an IEP or specified district policies. </w:t>
            </w:r>
            <w:r>
              <w:rPr>
                <w:rFonts w:ascii="Times New Roman" w:hAnsi="Times New Roman" w:cs="Times New Roman"/>
              </w:rPr>
              <w:t xml:space="preserve">Accommodations need to be identified prior to creating a student ticket. </w:t>
            </w:r>
            <w:r w:rsidR="005B464C">
              <w:rPr>
                <w:rFonts w:ascii="Times New Roman" w:hAnsi="Times New Roman" w:cs="Times New Roman"/>
              </w:rPr>
              <w:t>Available accommodations include audio for struggling readers</w:t>
            </w:r>
            <w:r w:rsidR="00352B31">
              <w:rPr>
                <w:rFonts w:ascii="Times New Roman" w:hAnsi="Times New Roman" w:cs="Times New Roman"/>
              </w:rPr>
              <w:t xml:space="preserve"> or ELLs</w:t>
            </w:r>
            <w:r w:rsidR="005B464C">
              <w:rPr>
                <w:rFonts w:ascii="Times New Roman" w:hAnsi="Times New Roman" w:cs="Times New Roman"/>
              </w:rPr>
              <w:t>, audio for visually impaired students, and color contrast tools.</w:t>
            </w:r>
            <w:r w:rsidR="00352B31">
              <w:rPr>
                <w:rFonts w:ascii="Times New Roman" w:hAnsi="Times New Roman" w:cs="Times New Roman"/>
              </w:rPr>
              <w:t xml:space="preserve"> The CDT is an untimed assessment; students who need extra breaks can complete the assessment over multiple administrations rather than at one time. ELLs can have access to translation dictionaries or may request a word, phrase, or test item be read aloud. All students will have access to tools within the assessment system including a magnifier, highlighter, cross-off tool, and line guide.</w:t>
            </w:r>
          </w:p>
          <w:p w:rsidR="002E787A" w:rsidRPr="002E787A" w:rsidRDefault="002E787A" w:rsidP="002E7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Note: </w:t>
            </w:r>
            <w:r w:rsidRPr="002E787A">
              <w:rPr>
                <w:rFonts w:ascii="Times New Roman" w:hAnsi="Times New Roman" w:cs="Times New Roman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e CDT User Guide </w:t>
            </w:r>
            <w:r w:rsidRPr="002E787A">
              <w:rPr>
                <w:rFonts w:ascii="Times New Roman" w:hAnsi="Times New Roman" w:cs="Times New Roman"/>
              </w:rPr>
              <w:t>can be found on eDIRECT. Go to https://pa.drcedirect.com. In the left-hand column, select Documents (under General Information). From the Administration dropdown, select 2013/2014 Classroom Diagnostic Tools; from the Document Type dropdown, select Manuals. Then click Show Documents.</w:t>
            </w:r>
          </w:p>
        </w:tc>
      </w:tr>
      <w:tr w:rsidR="00AB1D09" w:rsidRPr="00C52555">
        <w:trPr>
          <w:trHeight w:val="498"/>
        </w:trPr>
        <w:tc>
          <w:tcPr>
            <w:tcW w:w="558" w:type="dxa"/>
            <w:shd w:val="clear" w:color="auto" w:fill="8DB3E2"/>
            <w:vAlign w:val="center"/>
          </w:tcPr>
          <w:p w:rsidR="00AB1D09" w:rsidRPr="00EE4D08" w:rsidRDefault="00AB1D09" w:rsidP="00C52555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1c.</w:t>
            </w:r>
          </w:p>
        </w:tc>
        <w:tc>
          <w:tcPr>
            <w:tcW w:w="2070" w:type="dxa"/>
            <w:shd w:val="clear" w:color="auto" w:fill="DBE5F1"/>
            <w:vAlign w:val="center"/>
          </w:tcPr>
          <w:p w:rsidR="00AB1D09" w:rsidRPr="00EE4D08" w:rsidRDefault="00AB1D09" w:rsidP="00C52555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Resources/</w:t>
            </w:r>
          </w:p>
          <w:p w:rsidR="00AB1D09" w:rsidRPr="00EE4D08" w:rsidRDefault="00AB1D09" w:rsidP="00C52555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Equipment</w:t>
            </w:r>
          </w:p>
        </w:tc>
        <w:tc>
          <w:tcPr>
            <w:tcW w:w="8388" w:type="dxa"/>
            <w:vAlign w:val="center"/>
          </w:tcPr>
          <w:p w:rsidR="00AB1D09" w:rsidRPr="00EE4D08" w:rsidRDefault="00CA0FBC" w:rsidP="00C52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Each </w:t>
            </w:r>
            <w:r w:rsidR="005B464C">
              <w:rPr>
                <w:rFonts w:ascii="Times New Roman" w:hAnsi="Times New Roman" w:cs="Times New Roman"/>
              </w:rPr>
              <w:t xml:space="preserve">student will need access to a computer with the PA Online Assessments Software installed. Each student will need a Test Ticket, which includes a username and password. Each student should be provided a pencil and scratch/grid paper. They may use </w:t>
            </w:r>
            <w:r w:rsidR="00352B31">
              <w:rPr>
                <w:rFonts w:ascii="Times New Roman" w:hAnsi="Times New Roman" w:cs="Times New Roman"/>
              </w:rPr>
              <w:t xml:space="preserve">personal or school-provided </w:t>
            </w:r>
            <w:r w:rsidR="005B464C">
              <w:rPr>
                <w:rFonts w:ascii="Times New Roman" w:hAnsi="Times New Roman" w:cs="Times New Roman"/>
              </w:rPr>
              <w:t xml:space="preserve">calculators or those available in the online system. </w:t>
            </w:r>
            <w:r w:rsidR="00352B31">
              <w:rPr>
                <w:rFonts w:ascii="Times New Roman" w:hAnsi="Times New Roman" w:cs="Times New Roman"/>
              </w:rPr>
              <w:t>Scientific and/or graphing calculators are recommended, but not required.</w:t>
            </w:r>
          </w:p>
        </w:tc>
      </w:tr>
    </w:tbl>
    <w:p w:rsidR="00AB1D09" w:rsidRPr="0047066B" w:rsidRDefault="00AB1D09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2070"/>
        <w:gridCol w:w="8388"/>
      </w:tblGrid>
      <w:tr w:rsidR="00AB1D09" w:rsidRPr="00C52555" w:rsidTr="00EE4D08">
        <w:trPr>
          <w:trHeight w:val="350"/>
        </w:trPr>
        <w:tc>
          <w:tcPr>
            <w:tcW w:w="11016" w:type="dxa"/>
            <w:gridSpan w:val="3"/>
            <w:shd w:val="clear" w:color="auto" w:fill="8DB3E2"/>
          </w:tcPr>
          <w:p w:rsidR="00AB1D09" w:rsidRPr="00EE4D08" w:rsidRDefault="00AB1D09" w:rsidP="00C52555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Process (Student)</w:t>
            </w:r>
          </w:p>
        </w:tc>
      </w:tr>
      <w:tr w:rsidR="0047452D" w:rsidRPr="00EE4D08" w:rsidTr="006551A7">
        <w:trPr>
          <w:trHeight w:val="1070"/>
        </w:trPr>
        <w:tc>
          <w:tcPr>
            <w:tcW w:w="558" w:type="dxa"/>
            <w:shd w:val="clear" w:color="auto" w:fill="8DB3E2"/>
            <w:vAlign w:val="center"/>
          </w:tcPr>
          <w:p w:rsidR="0047452D" w:rsidRPr="00EE4D08" w:rsidRDefault="0047452D" w:rsidP="00C61BF9">
            <w:pPr>
              <w:tabs>
                <w:tab w:val="center" w:pos="13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2a.</w:t>
            </w:r>
          </w:p>
        </w:tc>
        <w:tc>
          <w:tcPr>
            <w:tcW w:w="2070" w:type="dxa"/>
            <w:shd w:val="clear" w:color="auto" w:fill="DBE5F1"/>
            <w:vAlign w:val="center"/>
          </w:tcPr>
          <w:p w:rsidR="0047452D" w:rsidRPr="00EE4D08" w:rsidRDefault="0047452D" w:rsidP="00C61BF9">
            <w:pPr>
              <w:tabs>
                <w:tab w:val="center" w:pos="13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Task Scenarios</w:t>
            </w:r>
          </w:p>
        </w:tc>
        <w:tc>
          <w:tcPr>
            <w:tcW w:w="8388" w:type="dxa"/>
            <w:vAlign w:val="center"/>
          </w:tcPr>
          <w:p w:rsidR="002669C2" w:rsidRPr="00EE4D08" w:rsidRDefault="006551A7" w:rsidP="00655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CDT is an untimed assessment; students who need extra breaks can complete the assessment over multiple administrations rather than at one time. Generally speaking, students need approximately one hour to complete the Algebra I CDT. </w:t>
            </w:r>
            <w:r w:rsidR="005B464C">
              <w:rPr>
                <w:rFonts w:ascii="Times New Roman" w:hAnsi="Times New Roman" w:cs="Times New Roman"/>
              </w:rPr>
              <w:t>Scratch/grid paper, a pencil, and a calculator (if desired) should be available in addition to online tools.</w:t>
            </w:r>
          </w:p>
        </w:tc>
      </w:tr>
      <w:tr w:rsidR="00133A4F" w:rsidRPr="00C52555" w:rsidTr="00F270C6">
        <w:trPr>
          <w:trHeight w:val="440"/>
        </w:trPr>
        <w:tc>
          <w:tcPr>
            <w:tcW w:w="558" w:type="dxa"/>
            <w:shd w:val="clear" w:color="auto" w:fill="8DB3E2"/>
            <w:vAlign w:val="center"/>
          </w:tcPr>
          <w:p w:rsidR="00133A4F" w:rsidRPr="00EE4D08" w:rsidRDefault="00133A4F" w:rsidP="00F270C6">
            <w:pPr>
              <w:tabs>
                <w:tab w:val="center" w:pos="13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2b.</w:t>
            </w:r>
          </w:p>
        </w:tc>
        <w:tc>
          <w:tcPr>
            <w:tcW w:w="2070" w:type="dxa"/>
            <w:shd w:val="clear" w:color="auto" w:fill="DBE5F1"/>
            <w:vAlign w:val="center"/>
          </w:tcPr>
          <w:p w:rsidR="00133A4F" w:rsidRPr="00EE4D08" w:rsidRDefault="00133A4F" w:rsidP="00F270C6">
            <w:pPr>
              <w:tabs>
                <w:tab w:val="center" w:pos="13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Process Steps</w:t>
            </w:r>
          </w:p>
        </w:tc>
        <w:tc>
          <w:tcPr>
            <w:tcW w:w="8388" w:type="dxa"/>
            <w:vAlign w:val="center"/>
          </w:tcPr>
          <w:p w:rsidR="00133A4F" w:rsidRPr="00EE4D08" w:rsidRDefault="005B464C" w:rsidP="00655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completes the assessment </w:t>
            </w:r>
            <w:r w:rsidR="006551A7">
              <w:rPr>
                <w:rFonts w:ascii="Times New Roman" w:hAnsi="Times New Roman" w:cs="Times New Roman"/>
              </w:rPr>
              <w:t xml:space="preserve">online, </w:t>
            </w:r>
            <w:r>
              <w:rPr>
                <w:rFonts w:ascii="Times New Roman" w:hAnsi="Times New Roman" w:cs="Times New Roman"/>
              </w:rPr>
              <w:t>with access to scratch/grid paper, a pencil, and a calculator (if desired).</w:t>
            </w:r>
          </w:p>
        </w:tc>
      </w:tr>
      <w:tr w:rsidR="00133A4F" w:rsidRPr="00C52555" w:rsidTr="00F270C6">
        <w:trPr>
          <w:trHeight w:val="332"/>
        </w:trPr>
        <w:tc>
          <w:tcPr>
            <w:tcW w:w="558" w:type="dxa"/>
            <w:shd w:val="clear" w:color="auto" w:fill="8DB3E2"/>
            <w:vAlign w:val="center"/>
          </w:tcPr>
          <w:p w:rsidR="00133A4F" w:rsidRPr="00EE4D08" w:rsidRDefault="00133A4F" w:rsidP="00F270C6">
            <w:pPr>
              <w:tabs>
                <w:tab w:val="center" w:pos="13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2c.</w:t>
            </w:r>
          </w:p>
        </w:tc>
        <w:tc>
          <w:tcPr>
            <w:tcW w:w="2070" w:type="dxa"/>
            <w:shd w:val="clear" w:color="auto" w:fill="DBE5F1"/>
            <w:vAlign w:val="center"/>
          </w:tcPr>
          <w:p w:rsidR="00133A4F" w:rsidRPr="00EE4D08" w:rsidRDefault="00133A4F" w:rsidP="00F270C6">
            <w:pPr>
              <w:tabs>
                <w:tab w:val="center" w:pos="13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Requirements</w:t>
            </w:r>
          </w:p>
        </w:tc>
        <w:tc>
          <w:tcPr>
            <w:tcW w:w="8388" w:type="dxa"/>
            <w:vAlign w:val="center"/>
          </w:tcPr>
          <w:p w:rsidR="00133A4F" w:rsidRPr="00EE4D08" w:rsidRDefault="005B464C" w:rsidP="00266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respond </w:t>
            </w:r>
            <w:r w:rsidR="0076491E">
              <w:rPr>
                <w:rFonts w:ascii="Times New Roman" w:hAnsi="Times New Roman" w:cs="Times New Roman"/>
              </w:rPr>
              <w:t xml:space="preserve">online </w:t>
            </w:r>
            <w:r>
              <w:rPr>
                <w:rFonts w:ascii="Times New Roman" w:hAnsi="Times New Roman" w:cs="Times New Roman"/>
              </w:rPr>
              <w:t>to each multiple-choice item until the assessment is complete</w:t>
            </w:r>
            <w:r w:rsidR="009126E8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33A4F" w:rsidRPr="00C52555" w:rsidTr="000719D5">
        <w:trPr>
          <w:trHeight w:val="296"/>
        </w:trPr>
        <w:tc>
          <w:tcPr>
            <w:tcW w:w="558" w:type="dxa"/>
            <w:shd w:val="clear" w:color="auto" w:fill="8DB3E2"/>
            <w:vAlign w:val="center"/>
          </w:tcPr>
          <w:p w:rsidR="00133A4F" w:rsidRPr="00EE4D08" w:rsidRDefault="00133A4F" w:rsidP="00F270C6">
            <w:pPr>
              <w:tabs>
                <w:tab w:val="center" w:pos="13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2d.</w:t>
            </w:r>
          </w:p>
        </w:tc>
        <w:tc>
          <w:tcPr>
            <w:tcW w:w="2070" w:type="dxa"/>
            <w:shd w:val="clear" w:color="auto" w:fill="DBE5F1"/>
            <w:vAlign w:val="center"/>
          </w:tcPr>
          <w:p w:rsidR="00133A4F" w:rsidRPr="00EE4D08" w:rsidRDefault="00133A4F" w:rsidP="00F270C6">
            <w:pPr>
              <w:tabs>
                <w:tab w:val="center" w:pos="13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Products</w:t>
            </w:r>
          </w:p>
        </w:tc>
        <w:tc>
          <w:tcPr>
            <w:tcW w:w="8388" w:type="dxa"/>
            <w:vAlign w:val="center"/>
          </w:tcPr>
          <w:p w:rsidR="00133A4F" w:rsidRPr="00EE4D08" w:rsidRDefault="009126E8" w:rsidP="009126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Upon completion, a set of online reports is made available.</w:t>
            </w:r>
          </w:p>
        </w:tc>
      </w:tr>
    </w:tbl>
    <w:p w:rsidR="00133A4F" w:rsidRPr="0047066B" w:rsidRDefault="00133A4F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2068"/>
        <w:gridCol w:w="8158"/>
      </w:tblGrid>
      <w:tr w:rsidR="00AB1D09" w:rsidRPr="00C52555" w:rsidTr="006A0081">
        <w:trPr>
          <w:trHeight w:val="305"/>
          <w:jc w:val="center"/>
        </w:trPr>
        <w:tc>
          <w:tcPr>
            <w:tcW w:w="11029" w:type="dxa"/>
            <w:gridSpan w:val="3"/>
            <w:shd w:val="clear" w:color="auto" w:fill="8DB3E2"/>
          </w:tcPr>
          <w:p w:rsidR="00AB1D09" w:rsidRPr="00EE4D08" w:rsidRDefault="00AB1D09" w:rsidP="00C5255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Scoring (Teacher) </w:t>
            </w:r>
          </w:p>
        </w:tc>
      </w:tr>
      <w:tr w:rsidR="00AB1D09" w:rsidRPr="00C52555" w:rsidTr="009126E8">
        <w:trPr>
          <w:trHeight w:val="287"/>
          <w:jc w:val="center"/>
        </w:trPr>
        <w:tc>
          <w:tcPr>
            <w:tcW w:w="565" w:type="dxa"/>
            <w:shd w:val="clear" w:color="auto" w:fill="8DB3E2"/>
            <w:vAlign w:val="center"/>
          </w:tcPr>
          <w:p w:rsidR="00AB1D09" w:rsidRPr="00EE4D08" w:rsidRDefault="00AB1D09" w:rsidP="00C52555">
            <w:pPr>
              <w:tabs>
                <w:tab w:val="left" w:pos="462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3a.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AB1D09" w:rsidRPr="00EE4D08" w:rsidRDefault="00AB1D09" w:rsidP="00C52555">
            <w:pPr>
              <w:tabs>
                <w:tab w:val="left" w:pos="462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Scoring Tools</w:t>
            </w:r>
          </w:p>
        </w:tc>
        <w:tc>
          <w:tcPr>
            <w:tcW w:w="8394" w:type="dxa"/>
            <w:vAlign w:val="center"/>
          </w:tcPr>
          <w:p w:rsidR="00AB1D09" w:rsidRPr="00EE4D08" w:rsidRDefault="005B464C" w:rsidP="00C52555">
            <w:pPr>
              <w:tabs>
                <w:tab w:val="left" w:pos="46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assessment is autoscored by the computer adaptive testing engine.</w:t>
            </w:r>
          </w:p>
        </w:tc>
      </w:tr>
      <w:tr w:rsidR="00AB1D09" w:rsidRPr="00C52555" w:rsidTr="006A0081">
        <w:trPr>
          <w:trHeight w:val="440"/>
          <w:jc w:val="center"/>
        </w:trPr>
        <w:tc>
          <w:tcPr>
            <w:tcW w:w="565" w:type="dxa"/>
            <w:shd w:val="clear" w:color="auto" w:fill="8DB3E2"/>
            <w:vAlign w:val="center"/>
          </w:tcPr>
          <w:p w:rsidR="00AB1D09" w:rsidRPr="00EE4D08" w:rsidRDefault="00AB1D09" w:rsidP="00C52555">
            <w:pPr>
              <w:tabs>
                <w:tab w:val="left" w:pos="462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3b.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AB1D09" w:rsidRPr="00EE4D08" w:rsidRDefault="00AB1D09" w:rsidP="00C525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Scoring Guidelines</w:t>
            </w:r>
          </w:p>
        </w:tc>
        <w:tc>
          <w:tcPr>
            <w:tcW w:w="8394" w:type="dxa"/>
            <w:vAlign w:val="center"/>
          </w:tcPr>
          <w:p w:rsidR="00AB1D09" w:rsidRPr="00EE4D08" w:rsidRDefault="005B464C" w:rsidP="000719D5">
            <w:pPr>
              <w:tabs>
                <w:tab w:val="left" w:pos="46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receive an overall score and diagnostic category scores that </w:t>
            </w:r>
            <w:r w:rsidR="000719D5">
              <w:rPr>
                <w:rFonts w:ascii="Times New Roman" w:hAnsi="Times New Roman" w:cs="Times New Roman"/>
              </w:rPr>
              <w:t>can be accessed</w:t>
            </w:r>
            <w:r>
              <w:rPr>
                <w:rFonts w:ascii="Times New Roman" w:hAnsi="Times New Roman" w:cs="Times New Roman"/>
              </w:rPr>
              <w:t xml:space="preserve"> via the Interactive Reports in eDIRECT.</w:t>
            </w:r>
          </w:p>
        </w:tc>
      </w:tr>
      <w:tr w:rsidR="00AB1D09" w:rsidRPr="00C52555" w:rsidTr="006A0081">
        <w:trPr>
          <w:trHeight w:val="692"/>
          <w:jc w:val="center"/>
        </w:trPr>
        <w:tc>
          <w:tcPr>
            <w:tcW w:w="565" w:type="dxa"/>
            <w:shd w:val="clear" w:color="auto" w:fill="8DB3E2"/>
            <w:vAlign w:val="center"/>
          </w:tcPr>
          <w:p w:rsidR="00AB1D09" w:rsidRPr="00EE4D08" w:rsidRDefault="00AB1D09" w:rsidP="00C52555">
            <w:pPr>
              <w:tabs>
                <w:tab w:val="left" w:pos="462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3c.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AB1D09" w:rsidRPr="00EE4D08" w:rsidRDefault="00AB1D09" w:rsidP="00C525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Score/Performance Reporting</w:t>
            </w:r>
          </w:p>
        </w:tc>
        <w:tc>
          <w:tcPr>
            <w:tcW w:w="8394" w:type="dxa"/>
            <w:vAlign w:val="center"/>
          </w:tcPr>
          <w:p w:rsidR="00AB1D09" w:rsidRPr="00EE4D08" w:rsidRDefault="000719D5" w:rsidP="000719D5">
            <w:pPr>
              <w:pStyle w:val="ListParagraph"/>
              <w:spacing w:after="0" w:line="240" w:lineRule="auto"/>
              <w:ind w:lef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Teachers will compile a summary report using data from the CDT Interactive Reports.</w:t>
            </w:r>
          </w:p>
        </w:tc>
      </w:tr>
    </w:tbl>
    <w:p w:rsidR="00AB1D09" w:rsidRDefault="00AB1D09" w:rsidP="00553FA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B1D09" w:rsidRDefault="00AB1D09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AB1D09" w:rsidSect="007D3469">
      <w:footerReference w:type="default" r:id="rId7"/>
      <w:pgSz w:w="12240" w:h="15840" w:code="1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438" w:rsidRDefault="00B86438" w:rsidP="00747FEC">
      <w:pPr>
        <w:spacing w:after="0" w:line="240" w:lineRule="auto"/>
      </w:pPr>
      <w:r>
        <w:separator/>
      </w:r>
    </w:p>
  </w:endnote>
  <w:endnote w:type="continuationSeparator" w:id="0">
    <w:p w:rsidR="00B86438" w:rsidRDefault="00B86438" w:rsidP="007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D09" w:rsidRPr="007E274E" w:rsidRDefault="00AB1D09" w:rsidP="00BC7CC1">
    <w:pPr>
      <w:pStyle w:val="Footer"/>
      <w:ind w:left="-360" w:firstLine="36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438" w:rsidRDefault="00B86438" w:rsidP="00747FEC">
      <w:pPr>
        <w:spacing w:after="0" w:line="240" w:lineRule="auto"/>
      </w:pPr>
      <w:r>
        <w:separator/>
      </w:r>
    </w:p>
  </w:footnote>
  <w:footnote w:type="continuationSeparator" w:id="0">
    <w:p w:rsidR="00B86438" w:rsidRDefault="00B86438" w:rsidP="00747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0F08"/>
    <w:multiLevelType w:val="hybridMultilevel"/>
    <w:tmpl w:val="C8B2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560372"/>
    <w:multiLevelType w:val="hybridMultilevel"/>
    <w:tmpl w:val="D6A8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4420C8"/>
    <w:multiLevelType w:val="hybridMultilevel"/>
    <w:tmpl w:val="870EB676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780EB7"/>
    <w:multiLevelType w:val="hybridMultilevel"/>
    <w:tmpl w:val="1AE4166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656AC"/>
    <w:multiLevelType w:val="hybridMultilevel"/>
    <w:tmpl w:val="7C18287A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664699"/>
    <w:multiLevelType w:val="hybridMultilevel"/>
    <w:tmpl w:val="D890C9FC"/>
    <w:lvl w:ilvl="0" w:tplc="2CE01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C6842"/>
    <w:multiLevelType w:val="hybridMultilevel"/>
    <w:tmpl w:val="D8549C6C"/>
    <w:lvl w:ilvl="0" w:tplc="790A141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5E6EEE"/>
    <w:multiLevelType w:val="hybridMultilevel"/>
    <w:tmpl w:val="FB00E5EE"/>
    <w:lvl w:ilvl="0" w:tplc="790A141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C251839"/>
    <w:multiLevelType w:val="hybridMultilevel"/>
    <w:tmpl w:val="5F4C4F9A"/>
    <w:lvl w:ilvl="0" w:tplc="391C3F5E">
      <w:start w:val="1"/>
      <w:numFmt w:val="decimal"/>
      <w:lvlText w:val="Section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01375"/>
    <w:multiLevelType w:val="hybridMultilevel"/>
    <w:tmpl w:val="D890C9FC"/>
    <w:lvl w:ilvl="0" w:tplc="2CE01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33A20"/>
    <w:multiLevelType w:val="hybridMultilevel"/>
    <w:tmpl w:val="15605086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FB"/>
    <w:rsid w:val="00015E41"/>
    <w:rsid w:val="00017E5E"/>
    <w:rsid w:val="00047AE1"/>
    <w:rsid w:val="00063285"/>
    <w:rsid w:val="000719D5"/>
    <w:rsid w:val="000A04BE"/>
    <w:rsid w:val="000A55BC"/>
    <w:rsid w:val="000A7918"/>
    <w:rsid w:val="000C665C"/>
    <w:rsid w:val="000C68B4"/>
    <w:rsid w:val="000D5514"/>
    <w:rsid w:val="000E21AF"/>
    <w:rsid w:val="000F01F3"/>
    <w:rsid w:val="00120099"/>
    <w:rsid w:val="00133A4F"/>
    <w:rsid w:val="00146589"/>
    <w:rsid w:val="0016217B"/>
    <w:rsid w:val="00182F71"/>
    <w:rsid w:val="00194EB2"/>
    <w:rsid w:val="00195DC5"/>
    <w:rsid w:val="001B04FD"/>
    <w:rsid w:val="001B15EF"/>
    <w:rsid w:val="001D286D"/>
    <w:rsid w:val="001D2F9D"/>
    <w:rsid w:val="001E60EB"/>
    <w:rsid w:val="00211D0E"/>
    <w:rsid w:val="002606E2"/>
    <w:rsid w:val="0026644F"/>
    <w:rsid w:val="002666B4"/>
    <w:rsid w:val="002669C2"/>
    <w:rsid w:val="00274E15"/>
    <w:rsid w:val="00283AD3"/>
    <w:rsid w:val="002A1A2A"/>
    <w:rsid w:val="002A32FF"/>
    <w:rsid w:val="002B0737"/>
    <w:rsid w:val="002B5359"/>
    <w:rsid w:val="002C143A"/>
    <w:rsid w:val="002D548C"/>
    <w:rsid w:val="002E6392"/>
    <w:rsid w:val="002E787A"/>
    <w:rsid w:val="00317339"/>
    <w:rsid w:val="0032174C"/>
    <w:rsid w:val="00326D3D"/>
    <w:rsid w:val="00330E8B"/>
    <w:rsid w:val="00352B31"/>
    <w:rsid w:val="00380DCD"/>
    <w:rsid w:val="003957CF"/>
    <w:rsid w:val="003A2499"/>
    <w:rsid w:val="003F0061"/>
    <w:rsid w:val="003F0A7F"/>
    <w:rsid w:val="003F57FB"/>
    <w:rsid w:val="00404AE7"/>
    <w:rsid w:val="0041606F"/>
    <w:rsid w:val="004209F8"/>
    <w:rsid w:val="0047066B"/>
    <w:rsid w:val="004741E0"/>
    <w:rsid w:val="0047452D"/>
    <w:rsid w:val="004845C6"/>
    <w:rsid w:val="004A4094"/>
    <w:rsid w:val="004B606C"/>
    <w:rsid w:val="004C1A5E"/>
    <w:rsid w:val="004C6959"/>
    <w:rsid w:val="004E0C3B"/>
    <w:rsid w:val="004F1094"/>
    <w:rsid w:val="004F2FAB"/>
    <w:rsid w:val="004F3C27"/>
    <w:rsid w:val="0054508F"/>
    <w:rsid w:val="00553FA0"/>
    <w:rsid w:val="005727B7"/>
    <w:rsid w:val="0058504B"/>
    <w:rsid w:val="005A67BB"/>
    <w:rsid w:val="005B464C"/>
    <w:rsid w:val="005D190A"/>
    <w:rsid w:val="005E1007"/>
    <w:rsid w:val="005F42B5"/>
    <w:rsid w:val="00600C37"/>
    <w:rsid w:val="00617104"/>
    <w:rsid w:val="00642E15"/>
    <w:rsid w:val="006551A7"/>
    <w:rsid w:val="0066172C"/>
    <w:rsid w:val="00684573"/>
    <w:rsid w:val="006A0081"/>
    <w:rsid w:val="006A5BEB"/>
    <w:rsid w:val="006C7306"/>
    <w:rsid w:val="006E6052"/>
    <w:rsid w:val="006F3EBC"/>
    <w:rsid w:val="00706330"/>
    <w:rsid w:val="0072795C"/>
    <w:rsid w:val="007347FF"/>
    <w:rsid w:val="007404CC"/>
    <w:rsid w:val="00747FEC"/>
    <w:rsid w:val="0076491E"/>
    <w:rsid w:val="00772347"/>
    <w:rsid w:val="00785A6C"/>
    <w:rsid w:val="00793F28"/>
    <w:rsid w:val="0079618D"/>
    <w:rsid w:val="007B13E8"/>
    <w:rsid w:val="007D3469"/>
    <w:rsid w:val="007D5395"/>
    <w:rsid w:val="007E274E"/>
    <w:rsid w:val="007E6157"/>
    <w:rsid w:val="00805208"/>
    <w:rsid w:val="008065B3"/>
    <w:rsid w:val="008135A4"/>
    <w:rsid w:val="0083415D"/>
    <w:rsid w:val="008379B1"/>
    <w:rsid w:val="00850E16"/>
    <w:rsid w:val="00855B38"/>
    <w:rsid w:val="00860A37"/>
    <w:rsid w:val="00896561"/>
    <w:rsid w:val="008A079A"/>
    <w:rsid w:val="008A5E08"/>
    <w:rsid w:val="008D2F15"/>
    <w:rsid w:val="008E20E3"/>
    <w:rsid w:val="008F0B82"/>
    <w:rsid w:val="009126E8"/>
    <w:rsid w:val="009308BA"/>
    <w:rsid w:val="00976845"/>
    <w:rsid w:val="009970C2"/>
    <w:rsid w:val="009B0A26"/>
    <w:rsid w:val="009E18CA"/>
    <w:rsid w:val="009F7CEE"/>
    <w:rsid w:val="00A075D2"/>
    <w:rsid w:val="00A42806"/>
    <w:rsid w:val="00A56575"/>
    <w:rsid w:val="00AB1D09"/>
    <w:rsid w:val="00AC29BA"/>
    <w:rsid w:val="00AC3099"/>
    <w:rsid w:val="00AE1AF0"/>
    <w:rsid w:val="00AF3A19"/>
    <w:rsid w:val="00B02E67"/>
    <w:rsid w:val="00B049B9"/>
    <w:rsid w:val="00B211D6"/>
    <w:rsid w:val="00B21C0C"/>
    <w:rsid w:val="00B2608C"/>
    <w:rsid w:val="00B274FC"/>
    <w:rsid w:val="00B417D5"/>
    <w:rsid w:val="00B47B13"/>
    <w:rsid w:val="00B57D58"/>
    <w:rsid w:val="00B61CA0"/>
    <w:rsid w:val="00B71F90"/>
    <w:rsid w:val="00B86438"/>
    <w:rsid w:val="00B90A38"/>
    <w:rsid w:val="00BC7CC1"/>
    <w:rsid w:val="00BE674E"/>
    <w:rsid w:val="00BF555C"/>
    <w:rsid w:val="00C01679"/>
    <w:rsid w:val="00C148F3"/>
    <w:rsid w:val="00C16358"/>
    <w:rsid w:val="00C27513"/>
    <w:rsid w:val="00C32358"/>
    <w:rsid w:val="00C3263E"/>
    <w:rsid w:val="00C4718B"/>
    <w:rsid w:val="00C52555"/>
    <w:rsid w:val="00C644E9"/>
    <w:rsid w:val="00C7263C"/>
    <w:rsid w:val="00C94DB2"/>
    <w:rsid w:val="00C95CE6"/>
    <w:rsid w:val="00CA0FBC"/>
    <w:rsid w:val="00CE09CD"/>
    <w:rsid w:val="00CF5C87"/>
    <w:rsid w:val="00D17F13"/>
    <w:rsid w:val="00D371BA"/>
    <w:rsid w:val="00D41CB2"/>
    <w:rsid w:val="00D976B3"/>
    <w:rsid w:val="00DA3BE3"/>
    <w:rsid w:val="00DA5097"/>
    <w:rsid w:val="00DC3041"/>
    <w:rsid w:val="00DD767C"/>
    <w:rsid w:val="00DF6742"/>
    <w:rsid w:val="00E0714D"/>
    <w:rsid w:val="00E16796"/>
    <w:rsid w:val="00E20FBD"/>
    <w:rsid w:val="00E45064"/>
    <w:rsid w:val="00E87857"/>
    <w:rsid w:val="00E93473"/>
    <w:rsid w:val="00EA2450"/>
    <w:rsid w:val="00EA2B56"/>
    <w:rsid w:val="00EB721C"/>
    <w:rsid w:val="00ED5165"/>
    <w:rsid w:val="00EE4D08"/>
    <w:rsid w:val="00EF5CA6"/>
    <w:rsid w:val="00EF6B62"/>
    <w:rsid w:val="00F11037"/>
    <w:rsid w:val="00F14A2E"/>
    <w:rsid w:val="00F2076F"/>
    <w:rsid w:val="00F33533"/>
    <w:rsid w:val="00F52C17"/>
    <w:rsid w:val="00F65D61"/>
    <w:rsid w:val="00FA1606"/>
    <w:rsid w:val="00FB37E5"/>
    <w:rsid w:val="00FD0A9D"/>
    <w:rsid w:val="00FD23CB"/>
    <w:rsid w:val="00FE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AF927C6-B20F-4419-88F4-77DA5B7D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7F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57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F57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FB"/>
  </w:style>
  <w:style w:type="paragraph" w:styleId="Header">
    <w:name w:val="header"/>
    <w:basedOn w:val="Normal"/>
    <w:link w:val="HeaderChar"/>
    <w:uiPriority w:val="99"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FB"/>
  </w:style>
  <w:style w:type="paragraph" w:styleId="BalloonText">
    <w:name w:val="Balloon Text"/>
    <w:basedOn w:val="Normal"/>
    <w:link w:val="BalloonTextChar"/>
    <w:uiPriority w:val="99"/>
    <w:semiHidden/>
    <w:rsid w:val="007D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6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4F1094"/>
    <w:pPr>
      <w:spacing w:line="240" w:lineRule="auto"/>
    </w:pPr>
    <w:rPr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rsid w:val="002669C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3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C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C27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C27"/>
    <w:rPr>
      <w:rFonts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 Template 10</vt:lpstr>
    </vt:vector>
  </TitlesOfParts>
  <Company>Hewlett-Packard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 Template 10</dc:title>
  <dc:subject>Performance Measure: Task Framework Template-Final</dc:subject>
  <dc:creator>Dietz;Beaudoin</dc:creator>
  <cp:keywords>SLO Template;Educator Effectiveness</cp:keywords>
  <cp:lastModifiedBy>Bobbie Pfingstler</cp:lastModifiedBy>
  <cp:revision>2</cp:revision>
  <dcterms:created xsi:type="dcterms:W3CDTF">2015-12-04T13:49:00Z</dcterms:created>
  <dcterms:modified xsi:type="dcterms:W3CDTF">2015-12-04T13:49:00Z</dcterms:modified>
</cp:coreProperties>
</file>