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64EA0" w:rsidRDefault="00D64EA0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790"/>
      </w:tblGrid>
      <w:tr w:rsidR="00D64EA0" w:rsidTr="00D64EA0">
        <w:tc>
          <w:tcPr>
            <w:tcW w:w="11016" w:type="dxa"/>
            <w:shd w:val="clear" w:color="auto" w:fill="FFFF00"/>
          </w:tcPr>
          <w:p w:rsidR="00D64EA0" w:rsidRDefault="00D64EA0" w:rsidP="00D64E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model SLO is a sample of how educators can integrate the CDT as a performance measure and employ its results to assess whether or not students have met the prescribed goal. </w:t>
            </w:r>
          </w:p>
          <w:p w:rsidR="00D64EA0" w:rsidRDefault="00D64EA0" w:rsidP="00D64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Educators are encouraged to view the SLO Model – Algebra I Using the CDT PowerPoint for a step-by-step explanation of the SLO development.</w:t>
            </w:r>
          </w:p>
        </w:tc>
      </w:tr>
    </w:tbl>
    <w:p w:rsidR="00D64EA0" w:rsidRDefault="00D64EA0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Emma </w:t>
            </w:r>
            <w:proofErr w:type="spellStart"/>
            <w:r>
              <w:rPr>
                <w:rFonts w:ascii="Times New Roman" w:hAnsi="Times New Roman" w:cs="Times New Roman"/>
              </w:rPr>
              <w:t>Deiner</w:t>
            </w:r>
            <w:proofErr w:type="spellEnd"/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 HS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 SD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sessions per week for one year equaling a total of 180 sessions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D64EA0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D64EA0" w:rsidP="00C15223">
            <w:pPr>
              <w:spacing w:before="60"/>
              <w:rPr>
                <w:rFonts w:ascii="Times New Roman" w:hAnsi="Times New Roman" w:cs="Times New Roman"/>
              </w:rPr>
            </w:pPr>
            <w:r w:rsidRPr="00262022">
              <w:rPr>
                <w:rFonts w:ascii="Times New Roman" w:hAnsi="Times New Roman" w:cs="Times New Roman"/>
              </w:rPr>
              <w:t>Through a focus on the use of operations with real numbers and expression, students will demonstrate an overall understanding of algebraic concepts and procedures through solving a variety</w:t>
            </w:r>
            <w:r>
              <w:rPr>
                <w:rFonts w:ascii="Times New Roman" w:hAnsi="Times New Roman" w:cs="Times New Roman"/>
              </w:rPr>
              <w:t xml:space="preserve"> of a</w:t>
            </w:r>
            <w:r w:rsidRPr="00262022">
              <w:rPr>
                <w:rFonts w:ascii="Times New Roman" w:hAnsi="Times New Roman" w:cs="Times New Roman"/>
              </w:rPr>
              <w:t>lgebraic problems.</w:t>
            </w: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D64EA0" w:rsidRPr="005B4F09" w:rsidRDefault="00D64EA0" w:rsidP="00D64EA0">
            <w:pPr>
              <w:rPr>
                <w:rFonts w:ascii="Times New Roman" w:hAnsi="Times New Roman" w:cs="Times New Roman"/>
                <w:u w:val="single"/>
              </w:rPr>
            </w:pPr>
            <w:r w:rsidRPr="005B4F09">
              <w:rPr>
                <w:rFonts w:ascii="Times New Roman" w:hAnsi="Times New Roman" w:cs="Times New Roman"/>
                <w:u w:val="single"/>
              </w:rPr>
              <w:t>Pennsylvania Core Standards – Mathematics</w:t>
            </w:r>
          </w:p>
          <w:p w:rsidR="00D64EA0" w:rsidRDefault="00D64EA0" w:rsidP="00D64EA0">
            <w:pPr>
              <w:ind w:left="1422" w:hanging="1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CC.2.1.HS.F.1: Apply and extend the properties of exponents to solve problems with rational exponents</w:t>
            </w:r>
          </w:p>
          <w:p w:rsidR="00D64EA0" w:rsidRPr="005B4F09" w:rsidRDefault="00D64EA0" w:rsidP="00D64EA0">
            <w:pPr>
              <w:ind w:left="1422" w:hanging="1422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hAnsi="Times New Roman" w:cs="Times New Roman"/>
              </w:rPr>
              <w:t>CC.2.1.HS.F.2: Apply properties of rational and irrational numbers to solve real-world or mathematical problems</w:t>
            </w:r>
          </w:p>
          <w:p w:rsidR="00D64EA0" w:rsidRDefault="00D64EA0" w:rsidP="00D64EA0">
            <w:pPr>
              <w:ind w:left="1422" w:hanging="1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CC.2.2.HS.D.1: Interpret the structure of expressions to represent a quantity in terms of its context.</w:t>
            </w:r>
          </w:p>
          <w:p w:rsidR="00D64EA0" w:rsidRDefault="00D64EA0" w:rsidP="00D64EA0">
            <w:pPr>
              <w:ind w:left="1422" w:hanging="1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CC.2.2.HS.D.2: Write expression in equivalent forms to solve problems.</w:t>
            </w:r>
          </w:p>
          <w:p w:rsidR="00D64EA0" w:rsidRDefault="00D64EA0" w:rsidP="00D64EA0">
            <w:pPr>
              <w:ind w:left="1422" w:hanging="1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CC.2.2.HS.D.3: Extend the knowledge of arithmetic operations and apply to polynomials.</w:t>
            </w:r>
          </w:p>
          <w:p w:rsidR="00D64EA0" w:rsidRDefault="00D64EA0" w:rsidP="00D64EA0">
            <w:pPr>
              <w:ind w:left="1422" w:hanging="1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CC.2.2.HS.D.5: Use polynomial identities to solve problems.</w:t>
            </w:r>
          </w:p>
          <w:p w:rsidR="00D64EA0" w:rsidRDefault="00D64EA0" w:rsidP="00D64EA0">
            <w:pPr>
              <w:ind w:left="1422" w:hanging="1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CC.2.2.HS.D.6: Extend the knowledge of rational functions to rewrite in equivalent forms.</w:t>
            </w:r>
          </w:p>
          <w:p w:rsidR="00330E8B" w:rsidRPr="009655B8" w:rsidRDefault="00D64EA0" w:rsidP="00D6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CC.2.2.HS.D.9: Use reasoning to solve equations and justify the solution method.</w:t>
            </w: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D64EA0" w:rsidP="00257F8F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goal bridges the gap between arithmetic and algebra while laying the groundwork for solving problems </w:t>
            </w:r>
            <w:r w:rsidRPr="00262022">
              <w:rPr>
                <w:rFonts w:ascii="Times New Roman" w:hAnsi="Times New Roman" w:cs="Times New Roman"/>
              </w:rPr>
              <w:t>involving a variety of algebraic concepts found in subsequent courses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64EA0" w:rsidRDefault="00D64EA0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64EA0" w:rsidRDefault="00D64E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D64EA0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#2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>Alg. 1</w:t>
            </w:r>
            <w:r w:rsidRPr="008707C2">
              <w:rPr>
                <w:rFonts w:ascii="Times New Roman" w:hAnsi="Times New Roman" w:cs="Times New Roman"/>
              </w:rPr>
              <w:t xml:space="preserve"> </w:t>
            </w:r>
            <w:r w:rsidRPr="008707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C4843">
              <w:rPr>
                <w:rFonts w:ascii="Times New Roman" w:hAnsi="Times New Roman" w:cs="Times New Roman"/>
                <w:u w:val="single"/>
              </w:rPr>
              <w:t xml:space="preserve">District </w:t>
            </w:r>
            <w:r w:rsidRPr="008707C2">
              <w:rPr>
                <w:rFonts w:ascii="Times New Roman" w:hAnsi="Times New Roman" w:cs="Times New Roman"/>
                <w:u w:val="single"/>
              </w:rPr>
              <w:t>End-of-Year Constructed Response Assessment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bookmarkStart w:id="1" w:name="Check1"/>
        <w:tc>
          <w:tcPr>
            <w:tcW w:w="4622" w:type="dxa"/>
            <w:gridSpan w:val="3"/>
            <w:shd w:val="clear" w:color="auto" w:fill="auto"/>
            <w:vAlign w:val="center"/>
          </w:tcPr>
          <w:p w:rsidR="00AB6695" w:rsidRPr="009655B8" w:rsidRDefault="00D64EA0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D64EA0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D64EA0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 xml:space="preserve">Classroom Diagnostic Tools – Algebra I </w:t>
            </w:r>
            <w:r w:rsidRPr="008707C2">
              <w:rPr>
                <w:rFonts w:ascii="Times New Roman" w:hAnsi="Times New Roman" w:cs="Times New Roman"/>
              </w:rPr>
              <w:t xml:space="preserve">Measures student understanding of the Alg. I Standards and Assessment Anchors/Eligible Content for Alg. I using multiple choice items. </w:t>
            </w:r>
          </w:p>
          <w:p w:rsidR="00D64EA0" w:rsidRPr="008707C2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#2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 xml:space="preserve">Alg. I </w:t>
            </w:r>
            <w:r w:rsidR="001C4843">
              <w:rPr>
                <w:rFonts w:ascii="Times New Roman" w:hAnsi="Times New Roman" w:cs="Times New Roman"/>
                <w:u w:val="single"/>
              </w:rPr>
              <w:t xml:space="preserve">District </w:t>
            </w:r>
            <w:r w:rsidRPr="008707C2">
              <w:rPr>
                <w:rFonts w:ascii="Times New Roman" w:hAnsi="Times New Roman" w:cs="Times New Roman"/>
                <w:u w:val="single"/>
              </w:rPr>
              <w:t>End-of-Year Constructed Response Assessment</w:t>
            </w:r>
          </w:p>
          <w:p w:rsidR="00AB6695" w:rsidRPr="000C698E" w:rsidRDefault="00D64EA0" w:rsidP="00D64EA0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>Measures student understanding of the Alg. I Standards and Assessment Anchors/Eligible Content for Alg. I using constructed response items.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2" w:type="dxa"/>
            <w:gridSpan w:val="3"/>
            <w:shd w:val="clear" w:color="auto" w:fill="auto"/>
            <w:vAlign w:val="center"/>
          </w:tcPr>
          <w:p w:rsidR="00AB6695" w:rsidRPr="00FD7DEE" w:rsidRDefault="00883322" w:rsidP="000C698E">
            <w:pPr>
              <w:ind w:left="346" w:hanging="360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</w:t>
            </w:r>
            <w:r w:rsidR="00AB6695" w:rsidRPr="00FD7DEE">
              <w:rPr>
                <w:rFonts w:ascii="Times New Roman" w:hAnsi="Times New Roman" w:cs="Times New Roman"/>
                <w:b/>
                <w:i/>
              </w:rPr>
              <w:t>)</w:t>
            </w:r>
            <w:r w:rsidR="00FD7DEE" w:rsidRPr="00FD7DEE">
              <w:rPr>
                <w:rFonts w:ascii="Times New Roman" w:hAnsi="Times New Roman" w:cs="Times New Roman"/>
                <w:b/>
                <w:i/>
              </w:rPr>
              <w:t>* Educators must include at least one growth measure in their SLO)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bookmarkStart w:id="2" w:name="Check2"/>
          <w:p w:rsidR="00AB6695" w:rsidRPr="009655B8" w:rsidRDefault="00D64EA0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D64EA0">
        <w:trPr>
          <w:trHeight w:val="1278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  <w:r w:rsidRPr="008707C2">
              <w:rPr>
                <w:rFonts w:ascii="Times New Roman" w:hAnsi="Times New Roman" w:cs="Times New Roman"/>
              </w:rPr>
              <w:t xml:space="preserve">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  <w:i/>
              </w:rPr>
            </w:pPr>
            <w:r w:rsidRPr="008707C2">
              <w:rPr>
                <w:rFonts w:ascii="Times New Roman" w:hAnsi="Times New Roman" w:cs="Times New Roman"/>
                <w:i/>
              </w:rPr>
              <w:t>First Administration: September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>Final Administration: Ma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#2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 xml:space="preserve">Alg. I </w:t>
            </w:r>
            <w:r w:rsidR="001C4843">
              <w:rPr>
                <w:rFonts w:ascii="Times New Roman" w:hAnsi="Times New Roman" w:cs="Times New Roman"/>
                <w:u w:val="single"/>
              </w:rPr>
              <w:t xml:space="preserve">District </w:t>
            </w:r>
            <w:r w:rsidRPr="008707C2">
              <w:rPr>
                <w:rFonts w:ascii="Times New Roman" w:hAnsi="Times New Roman" w:cs="Times New Roman"/>
                <w:u w:val="single"/>
              </w:rPr>
              <w:t>End-of-Year Constructed Response Assessment</w:t>
            </w:r>
          </w:p>
          <w:p w:rsidR="00AB6695" w:rsidRPr="000C698E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D64EA0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D64EA0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D64EA0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  <w:r w:rsidRPr="008707C2">
              <w:rPr>
                <w:rFonts w:ascii="Times New Roman" w:hAnsi="Times New Roman" w:cs="Times New Roman"/>
              </w:rPr>
              <w:t xml:space="preserve"> </w:t>
            </w:r>
          </w:p>
          <w:p w:rsidR="00D64EA0" w:rsidRPr="008707C2" w:rsidRDefault="00D64EA0" w:rsidP="00D64EA0">
            <w:pPr>
              <w:rPr>
                <w:rFonts w:ascii="Times New Roman" w:hAnsi="Times New Roman" w:cs="Times New Roman"/>
              </w:rPr>
            </w:pPr>
            <w:r w:rsidRPr="008707C2">
              <w:rPr>
                <w:rFonts w:ascii="Times New Roman" w:hAnsi="Times New Roman" w:cs="Times New Roman"/>
              </w:rPr>
              <w:t>Computer, Log In information</w:t>
            </w:r>
          </w:p>
          <w:p w:rsidR="00D64EA0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D64EA0" w:rsidRDefault="00D64EA0" w:rsidP="00D64EA0">
            <w:pPr>
              <w:rPr>
                <w:rFonts w:ascii="Times New Roman" w:hAnsi="Times New Roman" w:cs="Times New Roman"/>
                <w:highlight w:val="yellow"/>
              </w:rPr>
            </w:pPr>
            <w:r w:rsidRPr="00C434CF">
              <w:rPr>
                <w:rFonts w:ascii="Times New Roman" w:hAnsi="Times New Roman" w:cs="Times New Roman"/>
              </w:rPr>
              <w:t>PM #2</w:t>
            </w:r>
            <w:r w:rsidRPr="00C434C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D64EA0" w:rsidRPr="00C434CF" w:rsidRDefault="00D64EA0" w:rsidP="00D64EA0">
            <w:pPr>
              <w:rPr>
                <w:rFonts w:ascii="Times New Roman" w:hAnsi="Times New Roman" w:cs="Times New Roman"/>
              </w:rPr>
            </w:pPr>
            <w:r w:rsidRPr="00C434CF">
              <w:rPr>
                <w:rFonts w:ascii="Times New Roman" w:hAnsi="Times New Roman" w:cs="Times New Roman"/>
                <w:u w:val="single"/>
              </w:rPr>
              <w:t xml:space="preserve">Alg. I </w:t>
            </w:r>
            <w:r w:rsidR="001C4843">
              <w:rPr>
                <w:rFonts w:ascii="Times New Roman" w:hAnsi="Times New Roman" w:cs="Times New Roman"/>
                <w:u w:val="single"/>
              </w:rPr>
              <w:t xml:space="preserve">District </w:t>
            </w:r>
            <w:r w:rsidRPr="00C434CF">
              <w:rPr>
                <w:rFonts w:ascii="Times New Roman" w:hAnsi="Times New Roman" w:cs="Times New Roman"/>
                <w:u w:val="single"/>
              </w:rPr>
              <w:t>End of Year Constructed Response Assessment</w:t>
            </w:r>
          </w:p>
          <w:p w:rsidR="00AB6695" w:rsidRPr="00297315" w:rsidRDefault="00D64EA0" w:rsidP="00D64EA0">
            <w:pPr>
              <w:rPr>
                <w:rFonts w:ascii="Times New Roman" w:hAnsi="Times New Roman" w:cs="Times New Roman"/>
              </w:rPr>
            </w:pPr>
            <w:r w:rsidRPr="00C434CF">
              <w:rPr>
                <w:rFonts w:ascii="Times New Roman" w:hAnsi="Times New Roman" w:cs="Times New Roman"/>
              </w:rPr>
              <w:t>No unique resources or equipment required</w:t>
            </w:r>
            <w:r w:rsidRPr="00297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C434CF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C434CF" w:rsidRDefault="00D64EA0" w:rsidP="00D64EA0">
            <w:pPr>
              <w:rPr>
                <w:rFonts w:ascii="Times New Roman" w:hAnsi="Times New Roman" w:cs="Times New Roman"/>
              </w:rPr>
            </w:pPr>
            <w:r w:rsidRPr="00C434CF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  <w:r w:rsidRPr="00C434CF">
              <w:rPr>
                <w:rFonts w:ascii="Times New Roman" w:hAnsi="Times New Roman" w:cs="Times New Roman"/>
              </w:rPr>
              <w:t xml:space="preserve"> </w:t>
            </w:r>
          </w:p>
          <w:p w:rsidR="00D64EA0" w:rsidRPr="00C434CF" w:rsidRDefault="00D64EA0" w:rsidP="00D6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Automatically scored by the computer</w:t>
            </w: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C434CF">
              <w:rPr>
                <w:rFonts w:ascii="Times New Roman" w:hAnsi="Times New Roman" w:cs="Times New Roman"/>
              </w:rPr>
              <w:t xml:space="preserve">PM #2 </w:t>
            </w:r>
          </w:p>
          <w:p w:rsidR="00D64EA0" w:rsidRPr="00C434CF" w:rsidRDefault="00D64EA0" w:rsidP="00D64EA0">
            <w:pPr>
              <w:rPr>
                <w:rFonts w:ascii="Times New Roman" w:hAnsi="Times New Roman" w:cs="Times New Roman"/>
              </w:rPr>
            </w:pPr>
            <w:r w:rsidRPr="00C434CF">
              <w:rPr>
                <w:rFonts w:ascii="Times New Roman" w:hAnsi="Times New Roman" w:cs="Times New Roman"/>
                <w:u w:val="single"/>
              </w:rPr>
              <w:t xml:space="preserve">Alg. I </w:t>
            </w:r>
            <w:r w:rsidR="001C4843">
              <w:rPr>
                <w:rFonts w:ascii="Times New Roman" w:hAnsi="Times New Roman" w:cs="Times New Roman"/>
                <w:u w:val="single"/>
              </w:rPr>
              <w:t>District</w:t>
            </w:r>
            <w:r w:rsidRPr="00C434CF">
              <w:rPr>
                <w:rFonts w:ascii="Times New Roman" w:hAnsi="Times New Roman" w:cs="Times New Roman"/>
                <w:u w:val="single"/>
              </w:rPr>
              <w:t xml:space="preserve"> End of Year Constructed Response Assessment</w:t>
            </w: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>Keystone</w:t>
            </w:r>
            <w:r>
              <w:rPr>
                <w:rFonts w:ascii="Times New Roman" w:hAnsi="Times New Roman" w:cs="Times New Roman"/>
              </w:rPr>
              <w:t xml:space="preserve"> Reference:</w:t>
            </w:r>
            <w:r w:rsidRPr="00A3395B">
              <w:rPr>
                <w:rFonts w:ascii="Times New Roman" w:hAnsi="Times New Roman" w:cs="Times New Roman"/>
              </w:rPr>
              <w:t xml:space="preserve"> Algebra I General Description of Scoring Guidelines</w:t>
            </w:r>
          </w:p>
          <w:p w:rsidR="00D64EA0" w:rsidRDefault="00437197" w:rsidP="00D64EA0">
            <w:pPr>
              <w:rPr>
                <w:rFonts w:ascii="Times New Roman" w:hAnsi="Times New Roman" w:cs="Times New Roman"/>
              </w:rPr>
            </w:pPr>
            <w:hyperlink r:id="rId13" w:history="1">
              <w:r w:rsidR="00D64EA0" w:rsidRPr="00910AB3">
                <w:rPr>
                  <w:rStyle w:val="Hyperlink"/>
                  <w:rFonts w:ascii="Times New Roman" w:hAnsi="Times New Roman" w:cs="Times New Roman"/>
                </w:rPr>
                <w:t>http://static.pdesas.org/Content/Documents/Keystone%20Scoring%20Guidelines%20-%20Algebra%20I.pdf</w:t>
              </w:r>
            </w:hyperlink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</w:p>
        </w:tc>
      </w:tr>
    </w:tbl>
    <w:p w:rsidR="00D64EA0" w:rsidRDefault="00D64EA0">
      <w:r>
        <w:br w:type="page"/>
      </w: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732"/>
        <w:gridCol w:w="3790"/>
        <w:gridCol w:w="1985"/>
        <w:gridCol w:w="3539"/>
      </w:tblGrid>
      <w:tr w:rsidR="00AB6695" w:rsidRPr="00D17F13" w:rsidTr="00D64EA0">
        <w:trPr>
          <w:trHeight w:val="1304"/>
        </w:trPr>
        <w:tc>
          <w:tcPr>
            <w:tcW w:w="1732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A3395B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  <w:r w:rsidRPr="00A3395B">
              <w:rPr>
                <w:rFonts w:ascii="Times New Roman" w:hAnsi="Times New Roman" w:cs="Times New Roman"/>
              </w:rPr>
              <w:t xml:space="preserve"> </w:t>
            </w:r>
          </w:p>
          <w:p w:rsidR="00D64EA0" w:rsidRPr="00A3395B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>Assigned education professional will administer the assessment, computer scores</w:t>
            </w: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 xml:space="preserve">PM #2 </w:t>
            </w:r>
          </w:p>
          <w:p w:rsidR="00D64EA0" w:rsidRPr="00A3395B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  <w:u w:val="single"/>
              </w:rPr>
              <w:t xml:space="preserve">Alg. I </w:t>
            </w:r>
            <w:r w:rsidR="001C4843">
              <w:rPr>
                <w:rFonts w:ascii="Times New Roman" w:hAnsi="Times New Roman" w:cs="Times New Roman"/>
                <w:u w:val="single"/>
              </w:rPr>
              <w:t xml:space="preserve">District </w:t>
            </w:r>
            <w:r w:rsidRPr="00A3395B">
              <w:rPr>
                <w:rFonts w:ascii="Times New Roman" w:hAnsi="Times New Roman" w:cs="Times New Roman"/>
                <w:u w:val="single"/>
              </w:rPr>
              <w:t xml:space="preserve">End-of-Year </w:t>
            </w:r>
            <w:r w:rsidR="001C4843" w:rsidRPr="00A3395B"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 w:rsidRPr="00A3395B">
              <w:rPr>
                <w:rFonts w:ascii="Times New Roman" w:hAnsi="Times New Roman" w:cs="Times New Roman"/>
                <w:u w:val="single"/>
              </w:rPr>
              <w:t>Assessment</w:t>
            </w:r>
          </w:p>
          <w:p w:rsidR="00AB6695" w:rsidRPr="000C698E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>Certified math professional will administer and score the assessment.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 xml:space="preserve">PM #1 </w:t>
            </w:r>
          </w:p>
          <w:p w:rsidR="00D64EA0" w:rsidRPr="00A3395B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  <w:r w:rsidRPr="00A3395B">
              <w:rPr>
                <w:rFonts w:ascii="Times New Roman" w:hAnsi="Times New Roman" w:cs="Times New Roman"/>
              </w:rPr>
              <w:t xml:space="preserve"> </w:t>
            </w:r>
          </w:p>
          <w:p w:rsidR="00D64EA0" w:rsidRPr="00A3395B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>Summary list of students who meet the performance indicators</w:t>
            </w: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</w:p>
          <w:p w:rsidR="00D64EA0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 xml:space="preserve">PM #2 </w:t>
            </w:r>
          </w:p>
          <w:p w:rsidR="00D64EA0" w:rsidRPr="00A3395B" w:rsidRDefault="00D64EA0" w:rsidP="00D6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Alg</w:t>
            </w:r>
            <w:r w:rsidR="001C4843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I </w:t>
            </w:r>
            <w:r w:rsidR="001C4843">
              <w:rPr>
                <w:rFonts w:ascii="Times New Roman" w:hAnsi="Times New Roman" w:cs="Times New Roman"/>
                <w:u w:val="single"/>
              </w:rPr>
              <w:t xml:space="preserve">District </w:t>
            </w:r>
            <w:r w:rsidRPr="00A3395B">
              <w:rPr>
                <w:rFonts w:ascii="Times New Roman" w:hAnsi="Times New Roman" w:cs="Times New Roman"/>
                <w:u w:val="single"/>
              </w:rPr>
              <w:t>End-of-Year Constructed Response Assessment</w:t>
            </w:r>
          </w:p>
          <w:p w:rsidR="00AB6695" w:rsidRPr="000C698E" w:rsidRDefault="00D64EA0" w:rsidP="00D64EA0">
            <w:pPr>
              <w:rPr>
                <w:rFonts w:ascii="Times New Roman" w:hAnsi="Times New Roman" w:cs="Times New Roman"/>
              </w:rPr>
            </w:pPr>
            <w:r w:rsidRPr="00A3395B">
              <w:rPr>
                <w:rFonts w:ascii="Times New Roman" w:hAnsi="Times New Roman" w:cs="Times New Roman"/>
              </w:rPr>
              <w:t>Summary list of students who meet the performance indicators.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703" w:rsidRDefault="00856703" w:rsidP="001C4843">
            <w:pPr>
              <w:pStyle w:val="ListParagraph"/>
              <w:ind w:left="342"/>
              <w:rPr>
                <w:rFonts w:ascii="Times New Roman" w:hAnsi="Times New Roman" w:cs="Times New Roman"/>
                <w:b/>
              </w:rPr>
            </w:pPr>
          </w:p>
          <w:p w:rsidR="001C4843" w:rsidRPr="00D01315" w:rsidRDefault="001C4843" w:rsidP="001C4843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Each student must participate in all assessments (September and May CDT administrations and end-of-year constructed-response assessment) to be included in the SLO results.</w:t>
            </w:r>
          </w:p>
          <w:p w:rsidR="00D64EA0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D64EA0" w:rsidRDefault="00856703" w:rsidP="00D64EA0">
            <w:pPr>
              <w:pStyle w:val="ListParagraph"/>
              <w:ind w:left="3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Students in the “All Student Group” are those who obtained an overall scale score of 1121 or higher on the f</w:t>
            </w:r>
            <w:r w:rsidR="00D64EA0" w:rsidRPr="00F16B5D">
              <w:rPr>
                <w:rFonts w:ascii="Times New Roman" w:hAnsi="Times New Roman" w:cs="Times New Roman"/>
                <w:i/>
              </w:rPr>
              <w:t xml:space="preserve">irst </w:t>
            </w:r>
            <w:r w:rsidR="001C4843">
              <w:rPr>
                <w:rFonts w:ascii="Times New Roman" w:hAnsi="Times New Roman" w:cs="Times New Roman"/>
                <w:i/>
              </w:rPr>
              <w:t xml:space="preserve">CDT </w:t>
            </w:r>
            <w:r w:rsidR="00D64EA0" w:rsidRPr="00F16B5D">
              <w:rPr>
                <w:rFonts w:ascii="Times New Roman" w:hAnsi="Times New Roman" w:cs="Times New Roman"/>
                <w:i/>
              </w:rPr>
              <w:t>Administration</w:t>
            </w:r>
            <w:r>
              <w:rPr>
                <w:rFonts w:ascii="Times New Roman" w:hAnsi="Times New Roman" w:cs="Times New Roman"/>
                <w:i/>
              </w:rPr>
              <w:t>. (This corresponds to the Grade 8 Bottom of Green range.)</w:t>
            </w:r>
          </w:p>
          <w:p w:rsidR="00856703" w:rsidRPr="00F16B5D" w:rsidRDefault="00856703" w:rsidP="00D64EA0">
            <w:pPr>
              <w:pStyle w:val="ListParagraph"/>
              <w:ind w:left="342"/>
              <w:rPr>
                <w:rFonts w:ascii="Times New Roman" w:hAnsi="Times New Roman" w:cs="Times New Roman"/>
                <w:i/>
              </w:rPr>
            </w:pPr>
          </w:p>
          <w:p w:rsidR="00D64EA0" w:rsidRPr="00C60174" w:rsidRDefault="00D64EA0" w:rsidP="001C4843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PI Target #1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8C5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</w:p>
          <w:p w:rsidR="00D64EA0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  <w:r w:rsidRPr="00F16B5D">
              <w:rPr>
                <w:rFonts w:ascii="Times New Roman" w:hAnsi="Times New Roman" w:cs="Times New Roman"/>
              </w:rPr>
              <w:t xml:space="preserve"> administration: Overall score is no less than the Alg. 1 Bottom of Green (1134).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64EA0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D64EA0" w:rsidRPr="00F16B5D" w:rsidRDefault="00D64EA0" w:rsidP="001C4843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</w:rPr>
            </w:pPr>
            <w:r w:rsidRPr="00F16B5D">
              <w:rPr>
                <w:rFonts w:ascii="Times New Roman" w:hAnsi="Times New Roman" w:cs="Times New Roman"/>
              </w:rPr>
              <w:t xml:space="preserve">PI Target #2 </w:t>
            </w:r>
            <w:r w:rsidRPr="001C4843">
              <w:rPr>
                <w:rFonts w:ascii="Times New Roman" w:hAnsi="Times New Roman" w:cs="Times New Roman"/>
                <w:u w:val="single"/>
              </w:rPr>
              <w:t xml:space="preserve">Algebra I </w:t>
            </w:r>
            <w:r w:rsidR="001C4843" w:rsidRPr="001C4843">
              <w:rPr>
                <w:rFonts w:ascii="Times New Roman" w:hAnsi="Times New Roman" w:cs="Times New Roman"/>
                <w:u w:val="single"/>
              </w:rPr>
              <w:t>District</w:t>
            </w:r>
            <w:r w:rsidR="001C4843">
              <w:rPr>
                <w:rFonts w:ascii="Times New Roman" w:hAnsi="Times New Roman" w:cs="Times New Roman"/>
              </w:rPr>
              <w:t xml:space="preserve"> </w:t>
            </w:r>
            <w:r w:rsidRPr="00F16B5D">
              <w:rPr>
                <w:rFonts w:ascii="Times New Roman" w:hAnsi="Times New Roman" w:cs="Times New Roman"/>
                <w:u w:val="single"/>
              </w:rPr>
              <w:t>End-of-Year Constructed Response Assessment</w:t>
            </w:r>
          </w:p>
          <w:p w:rsidR="00047AE1" w:rsidRDefault="00D64EA0" w:rsidP="00D64EA0">
            <w:pPr>
              <w:ind w:left="342"/>
              <w:rPr>
                <w:rFonts w:ascii="Times New Roman" w:hAnsi="Times New Roman" w:cs="Times New Roman"/>
              </w:rPr>
            </w:pPr>
            <w:r w:rsidRPr="00F16B5D">
              <w:rPr>
                <w:rFonts w:ascii="Times New Roman" w:hAnsi="Times New Roman" w:cs="Times New Roman"/>
              </w:rPr>
              <w:t xml:space="preserve">Student will achieve a minimum score of 12 points out of 16 based upon the </w:t>
            </w:r>
            <w:r w:rsidRPr="00A3395B">
              <w:rPr>
                <w:rFonts w:ascii="Times New Roman" w:hAnsi="Times New Roman" w:cs="Times New Roman"/>
              </w:rPr>
              <w:t>Algebra I General Description of Scoring Guidelines</w:t>
            </w:r>
          </w:p>
          <w:p w:rsidR="00D64EA0" w:rsidRPr="000C698E" w:rsidRDefault="00D64EA0" w:rsidP="00D64EA0">
            <w:pPr>
              <w:ind w:left="342"/>
              <w:rPr>
                <w:rFonts w:ascii="Times New Roman" w:hAnsi="Times New Roman" w:cs="Times New Roman"/>
              </w:rPr>
            </w:pP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D64EA0" w:rsidRPr="00725306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EA0" w:rsidRPr="001C4843" w:rsidRDefault="00725306" w:rsidP="00D64EA0">
            <w:pPr>
              <w:pStyle w:val="ListParagraph"/>
              <w:ind w:left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Focused Student Group 1</w:t>
            </w:r>
          </w:p>
          <w:p w:rsidR="00D64EA0" w:rsidRPr="001C4843" w:rsidRDefault="00725306" w:rsidP="00D64EA0">
            <w:pPr>
              <w:pStyle w:val="ListParagraph"/>
              <w:spacing w:before="240"/>
              <w:ind w:left="3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Students in the “Focused Student Group 1” are those who obtained an overall score of at least 1082 but less than 1121 on the first CDT Administration.</w:t>
            </w:r>
            <w:r w:rsidR="001C4843" w:rsidRPr="001C4843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This corresponds to the range that is at least in the Grade 7 Green band but less than the Grade 8 Green band.)</w:t>
            </w:r>
          </w:p>
          <w:p w:rsidR="00D64EA0" w:rsidRPr="00725306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EA0" w:rsidRDefault="00D64EA0" w:rsidP="001C4843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PI Target #1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8C5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</w:p>
          <w:p w:rsidR="00D64EA0" w:rsidRDefault="00D64EA0" w:rsidP="001C4843">
            <w:p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  <w:r w:rsidRPr="00F16B5D">
              <w:rPr>
                <w:rFonts w:ascii="Times New Roman" w:hAnsi="Times New Roman" w:cs="Times New Roman"/>
              </w:rPr>
              <w:t xml:space="preserve"> Administration: Overall </w:t>
            </w:r>
            <w:r>
              <w:rPr>
                <w:rFonts w:ascii="Times New Roman" w:hAnsi="Times New Roman" w:cs="Times New Roman"/>
              </w:rPr>
              <w:t>scale</w:t>
            </w:r>
            <w:r w:rsidRPr="00F16B5D">
              <w:rPr>
                <w:rFonts w:ascii="Times New Roman" w:hAnsi="Times New Roman" w:cs="Times New Roman"/>
              </w:rPr>
              <w:t xml:space="preserve"> score shows growth of a minimum of one standard error above the first administration score.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4EA0" w:rsidRPr="00725306" w:rsidRDefault="00D64EA0" w:rsidP="00D64EA0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EA0" w:rsidRPr="00917813" w:rsidRDefault="00D64EA0" w:rsidP="001C4843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 xml:space="preserve">PI Target #2 </w:t>
            </w:r>
            <w:r w:rsidRPr="001C4843">
              <w:rPr>
                <w:rFonts w:ascii="Times New Roman" w:hAnsi="Times New Roman" w:cs="Times New Roman"/>
                <w:u w:val="single"/>
              </w:rPr>
              <w:t>Alg. I End of Year Constructed Response Assessment</w:t>
            </w:r>
            <w:r w:rsidRPr="00917813">
              <w:rPr>
                <w:rFonts w:ascii="Times New Roman" w:hAnsi="Times New Roman" w:cs="Times New Roman"/>
              </w:rPr>
              <w:t xml:space="preserve"> </w:t>
            </w:r>
          </w:p>
          <w:p w:rsidR="00D64EA0" w:rsidRDefault="00D64EA0" w:rsidP="00D64EA0">
            <w:pPr>
              <w:ind w:left="342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 xml:space="preserve">Student will achieve </w:t>
            </w:r>
            <w:r>
              <w:rPr>
                <w:rFonts w:ascii="Times New Roman" w:hAnsi="Times New Roman" w:cs="Times New Roman"/>
              </w:rPr>
              <w:t xml:space="preserve">a minimum score of </w:t>
            </w:r>
            <w:r w:rsidR="001C48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points out of 16 based upon the </w:t>
            </w:r>
            <w:r w:rsidRPr="00A3395B">
              <w:rPr>
                <w:rFonts w:ascii="Times New Roman" w:hAnsi="Times New Roman" w:cs="Times New Roman"/>
              </w:rPr>
              <w:t>Algebra I General Description of Scoring Guidelines</w:t>
            </w:r>
          </w:p>
          <w:p w:rsidR="001C4843" w:rsidRDefault="001C4843" w:rsidP="00D64EA0">
            <w:pPr>
              <w:ind w:left="342"/>
              <w:rPr>
                <w:rFonts w:ascii="Times New Roman" w:hAnsi="Times New Roman" w:cs="Times New Roman"/>
              </w:rPr>
            </w:pPr>
          </w:p>
          <w:p w:rsidR="001C4843" w:rsidRPr="001C4843" w:rsidRDefault="001C4843" w:rsidP="001C4843">
            <w:pPr>
              <w:pStyle w:val="ListParagraph"/>
              <w:ind w:left="342"/>
              <w:rPr>
                <w:rFonts w:ascii="Times New Roman" w:hAnsi="Times New Roman" w:cs="Times New Roman"/>
                <w:b/>
              </w:rPr>
            </w:pPr>
            <w:r w:rsidRPr="001C4843">
              <w:rPr>
                <w:rFonts w:ascii="Times New Roman" w:hAnsi="Times New Roman" w:cs="Times New Roman"/>
                <w:b/>
              </w:rPr>
              <w:t xml:space="preserve">Focused Student Group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C4843" w:rsidRPr="001C4843" w:rsidRDefault="00725306" w:rsidP="001C4843">
            <w:pPr>
              <w:pStyle w:val="ListParagraph"/>
              <w:spacing w:before="240"/>
              <w:ind w:left="3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Students in the “Focused Student Group 2” are those who obtained an overall score of less than 1082on the first CDT Administration.</w:t>
            </w:r>
            <w:r w:rsidR="001C4843" w:rsidRPr="001C484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(This corresponds to the Red band for Grade 7.)</w:t>
            </w:r>
          </w:p>
          <w:p w:rsidR="001C4843" w:rsidRPr="00725306" w:rsidRDefault="001C4843" w:rsidP="001C4843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43" w:rsidRDefault="001C4843" w:rsidP="001C4843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PI Target #1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8C5">
              <w:rPr>
                <w:rFonts w:ascii="Times New Roman" w:hAnsi="Times New Roman" w:cs="Times New Roman"/>
                <w:u w:val="single"/>
              </w:rPr>
              <w:t>Classroom Diagnostic Tools – Algebra I</w:t>
            </w:r>
          </w:p>
          <w:p w:rsidR="001C4843" w:rsidRPr="001C4843" w:rsidRDefault="001C4843" w:rsidP="001C4843">
            <w:pPr>
              <w:ind w:left="342"/>
              <w:rPr>
                <w:rFonts w:ascii="Times New Roman" w:hAnsi="Times New Roman" w:cs="Times New Roman"/>
              </w:rPr>
            </w:pPr>
            <w:r w:rsidRPr="001C4843">
              <w:rPr>
                <w:rFonts w:ascii="Times New Roman" w:hAnsi="Times New Roman" w:cs="Times New Roman"/>
              </w:rPr>
              <w:t xml:space="preserve">Final Administration: Overall scale score shows growth of a minimum of one standard error above the first administration score. </w:t>
            </w:r>
          </w:p>
          <w:p w:rsidR="001C4843" w:rsidRPr="00725306" w:rsidRDefault="001C4843" w:rsidP="001C4843">
            <w:pPr>
              <w:pStyle w:val="ListParagraph"/>
              <w:ind w:left="3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4843" w:rsidRPr="00917813" w:rsidRDefault="001C4843" w:rsidP="001C4843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 xml:space="preserve">PI Target #2 </w:t>
            </w:r>
            <w:r w:rsidRPr="001C4843">
              <w:rPr>
                <w:rFonts w:ascii="Times New Roman" w:hAnsi="Times New Roman" w:cs="Times New Roman"/>
                <w:u w:val="single"/>
              </w:rPr>
              <w:t>Alg. I End of Year Constructed Response Assessment</w:t>
            </w:r>
            <w:r w:rsidRPr="00917813">
              <w:rPr>
                <w:rFonts w:ascii="Times New Roman" w:hAnsi="Times New Roman" w:cs="Times New Roman"/>
              </w:rPr>
              <w:t xml:space="preserve"> </w:t>
            </w:r>
          </w:p>
          <w:p w:rsidR="001C4843" w:rsidRDefault="001C4843" w:rsidP="001C4843">
            <w:pPr>
              <w:ind w:left="342"/>
              <w:rPr>
                <w:rFonts w:ascii="Times New Roman" w:hAnsi="Times New Roman" w:cs="Times New Roman"/>
              </w:rPr>
            </w:pPr>
            <w:r w:rsidRPr="00917813">
              <w:rPr>
                <w:rFonts w:ascii="Times New Roman" w:hAnsi="Times New Roman" w:cs="Times New Roman"/>
              </w:rPr>
              <w:t xml:space="preserve">Student will achieve </w:t>
            </w:r>
            <w:r>
              <w:rPr>
                <w:rFonts w:ascii="Times New Roman" w:hAnsi="Times New Roman" w:cs="Times New Roman"/>
              </w:rPr>
              <w:t xml:space="preserve">a minimum score of 8 points out of 16 based upon the </w:t>
            </w:r>
            <w:r w:rsidRPr="00A3395B">
              <w:rPr>
                <w:rFonts w:ascii="Times New Roman" w:hAnsi="Times New Roman" w:cs="Times New Roman"/>
              </w:rPr>
              <w:t>Algebra I General Description of Scoring Guidelines</w:t>
            </w:r>
          </w:p>
          <w:p w:rsidR="00C27513" w:rsidRPr="00DE463E" w:rsidRDefault="00C27513" w:rsidP="00DE46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64EA0" w:rsidRDefault="00D64EA0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D64EA0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D64EA0">
              <w:rPr>
                <w:rFonts w:ascii="Times New Roman" w:hAnsi="Times New Roman" w:cs="Times New Roman"/>
              </w:rPr>
              <w:t>59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D64EA0" w:rsidP="00D64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F57FB" w:rsidRPr="009655B8">
              <w:rPr>
                <w:rFonts w:ascii="Times New Roman" w:hAnsi="Times New Roman" w:cs="Times New Roman"/>
              </w:rPr>
              <w:t xml:space="preserve">% to </w:t>
            </w:r>
            <w:r>
              <w:rPr>
                <w:rFonts w:ascii="Times New Roman" w:hAnsi="Times New Roman" w:cs="Times New Roman"/>
              </w:rPr>
              <w:t>79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D64EA0" w:rsidP="00D64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F57FB" w:rsidRPr="009655B8">
              <w:rPr>
                <w:rFonts w:ascii="Times New Roman" w:hAnsi="Times New Roman" w:cs="Times New Roman"/>
              </w:rPr>
              <w:t xml:space="preserve">% to </w:t>
            </w:r>
            <w:r>
              <w:rPr>
                <w:rFonts w:ascii="Times New Roman" w:hAnsi="Times New Roman" w:cs="Times New Roman"/>
              </w:rPr>
              <w:t>92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D64EA0" w:rsidP="00A5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3F57FB" w:rsidRPr="009655B8">
              <w:rPr>
                <w:rFonts w:ascii="Times New Roman" w:hAnsi="Times New Roman" w:cs="Times New Roman"/>
              </w:rPr>
              <w:t xml:space="preserve">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437197">
              <w:rPr>
                <w:rFonts w:ascii="Times New Roman" w:hAnsi="Times New Roman" w:cs="Times New Roman"/>
              </w:rPr>
            </w:r>
            <w:r w:rsidR="00437197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97" w:rsidRDefault="00437197" w:rsidP="00747FEC">
      <w:pPr>
        <w:spacing w:after="0" w:line="240" w:lineRule="auto"/>
      </w:pPr>
      <w:r>
        <w:separator/>
      </w:r>
    </w:p>
  </w:endnote>
  <w:endnote w:type="continuationSeparator" w:id="0">
    <w:p w:rsidR="00437197" w:rsidRDefault="00437197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15" w:rsidRPr="00297315" w:rsidRDefault="00297315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:rsidR="00E83F5A" w:rsidRPr="00297315" w:rsidRDefault="00E83F5A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>Template #4-SLO Process Template</w:t>
    </w:r>
    <w:r w:rsidR="00FD7DEE">
      <w:rPr>
        <w:rFonts w:ascii="Times New Roman" w:hAnsi="Times New Roman" w:cs="Times New Roman"/>
        <w:noProof/>
        <w:sz w:val="14"/>
        <w:szCs w:val="20"/>
      </w:rPr>
      <w:t xml:space="preserve"> –ESEA waiver update 9.29.15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97" w:rsidRDefault="00437197" w:rsidP="00747FEC">
      <w:pPr>
        <w:spacing w:after="0" w:line="240" w:lineRule="auto"/>
      </w:pPr>
      <w:r>
        <w:separator/>
      </w:r>
    </w:p>
  </w:footnote>
  <w:footnote w:type="continuationSeparator" w:id="0">
    <w:p w:rsidR="00437197" w:rsidRDefault="00437197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01AF9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4EF2"/>
    <w:rsid w:val="00146589"/>
    <w:rsid w:val="00182F71"/>
    <w:rsid w:val="001C4843"/>
    <w:rsid w:val="001C7EBF"/>
    <w:rsid w:val="001D286D"/>
    <w:rsid w:val="00211D0E"/>
    <w:rsid w:val="002141C7"/>
    <w:rsid w:val="002615BA"/>
    <w:rsid w:val="002666B4"/>
    <w:rsid w:val="00297315"/>
    <w:rsid w:val="002A32FF"/>
    <w:rsid w:val="002B1E4E"/>
    <w:rsid w:val="002B5359"/>
    <w:rsid w:val="002D20AA"/>
    <w:rsid w:val="002D548C"/>
    <w:rsid w:val="002E03FE"/>
    <w:rsid w:val="002E6392"/>
    <w:rsid w:val="002F38E8"/>
    <w:rsid w:val="00317B1C"/>
    <w:rsid w:val="00323548"/>
    <w:rsid w:val="00330E8B"/>
    <w:rsid w:val="003451D6"/>
    <w:rsid w:val="00352860"/>
    <w:rsid w:val="00362466"/>
    <w:rsid w:val="00365DDC"/>
    <w:rsid w:val="0037395E"/>
    <w:rsid w:val="00385C6A"/>
    <w:rsid w:val="003F0061"/>
    <w:rsid w:val="003F0A7F"/>
    <w:rsid w:val="003F57FB"/>
    <w:rsid w:val="00402697"/>
    <w:rsid w:val="00404AE7"/>
    <w:rsid w:val="00422F26"/>
    <w:rsid w:val="00427752"/>
    <w:rsid w:val="00437197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727B7"/>
    <w:rsid w:val="005A67BB"/>
    <w:rsid w:val="005B350B"/>
    <w:rsid w:val="005D190A"/>
    <w:rsid w:val="005E1007"/>
    <w:rsid w:val="00631CBB"/>
    <w:rsid w:val="00684573"/>
    <w:rsid w:val="006A5BEB"/>
    <w:rsid w:val="006B17C9"/>
    <w:rsid w:val="00706330"/>
    <w:rsid w:val="00725306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56703"/>
    <w:rsid w:val="00860A37"/>
    <w:rsid w:val="00883322"/>
    <w:rsid w:val="008A5E08"/>
    <w:rsid w:val="008D2F15"/>
    <w:rsid w:val="00923531"/>
    <w:rsid w:val="009655B8"/>
    <w:rsid w:val="009970C2"/>
    <w:rsid w:val="009B2A29"/>
    <w:rsid w:val="009C6886"/>
    <w:rsid w:val="009E18CA"/>
    <w:rsid w:val="00A075D2"/>
    <w:rsid w:val="00A42806"/>
    <w:rsid w:val="00A5136F"/>
    <w:rsid w:val="00A6050B"/>
    <w:rsid w:val="00AB6695"/>
    <w:rsid w:val="00AC29BA"/>
    <w:rsid w:val="00AC3099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D00658"/>
    <w:rsid w:val="00D17F13"/>
    <w:rsid w:val="00D21A7B"/>
    <w:rsid w:val="00D371BA"/>
    <w:rsid w:val="00D405B2"/>
    <w:rsid w:val="00D64EA0"/>
    <w:rsid w:val="00DA3BE3"/>
    <w:rsid w:val="00DE463E"/>
    <w:rsid w:val="00DF6742"/>
    <w:rsid w:val="00E149A3"/>
    <w:rsid w:val="00E20FBD"/>
    <w:rsid w:val="00E8315F"/>
    <w:rsid w:val="00E83F5A"/>
    <w:rsid w:val="00E87857"/>
    <w:rsid w:val="00ED0736"/>
    <w:rsid w:val="00ED5165"/>
    <w:rsid w:val="00EF6B62"/>
    <w:rsid w:val="00F11037"/>
    <w:rsid w:val="00F458F8"/>
    <w:rsid w:val="00F52C17"/>
    <w:rsid w:val="00F6754D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34403-5CE7-4DDC-ABD6-9A2B67A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tatic.pdesas.org/Content/Documents/Keystone%20Scoring%20Guidelines%20-%20Algebra%20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29B48D41-81B0-4085-821E-99E630559B74}" type="presOf" srcId="{AC115072-5182-4146-ACF4-BF6D88F67C9D}" destId="{2B2183E2-113A-49FC-A648-77F63CF66956}" srcOrd="1" destOrd="0" presId="urn:microsoft.com/office/officeart/2011/layout/CircleProcess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63D39251-0F9C-4A4E-A3BB-8FB0DE66759C}" type="presOf" srcId="{F0E16F26-F286-457B-A0F7-AB9435397155}" destId="{553EA51B-FB25-49EC-AD59-7976280634A2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BEE482F0-C325-43C4-B552-0E5DFC758EB9}" type="presOf" srcId="{0CA8BECB-7015-4A61-9CC7-6B538C40247C}" destId="{47464031-5835-4702-8A23-894ADD4AD959}" srcOrd="0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99E1DF3C-5EDA-48EF-B46E-FF8B467B324A}" type="presOf" srcId="{C7D25E6A-383C-4455-9657-9F395ADB74E4}" destId="{B28B89E3-12E9-4164-9C7F-A4D1A64C9659}" srcOrd="0" destOrd="0" presId="urn:microsoft.com/office/officeart/2011/layout/CircleProcess"/>
    <dgm:cxn modelId="{5AC5F48F-37BA-4D61-A5D4-311770762A60}" type="presOf" srcId="{2238F8D5-CC3F-43A5-9442-1671B5E47041}" destId="{B7551989-925D-4151-BF0D-5503090491EC}" srcOrd="0" destOrd="0" presId="urn:microsoft.com/office/officeart/2011/layout/CircleProcess"/>
    <dgm:cxn modelId="{CC799562-88E8-437B-8DD0-FE324BA96DDF}" type="presOf" srcId="{9F13A900-7EEC-4F8E-9EA9-B62B7E38D287}" destId="{C370D110-C8FE-4F54-AF4F-3AE13F939685}" srcOrd="0" destOrd="0" presId="urn:microsoft.com/office/officeart/2011/layout/CircleProcess"/>
    <dgm:cxn modelId="{499D1DD6-94BF-4E59-9506-1D05C478B852}" type="presOf" srcId="{C7D25E6A-383C-4455-9657-9F395ADB74E4}" destId="{83D743C4-8E7C-4F18-99B2-28FD158DA65D}" srcOrd="1" destOrd="0" presId="urn:microsoft.com/office/officeart/2011/layout/CircleProcess"/>
    <dgm:cxn modelId="{B01CFE1B-4D56-4969-8D5A-898CCE916EF7}" type="presOf" srcId="{9F13A900-7EEC-4F8E-9EA9-B62B7E38D287}" destId="{A751EBC0-BFDC-403D-9CFD-36A29B9652EA}" srcOrd="1" destOrd="0" presId="urn:microsoft.com/office/officeart/2011/layout/CircleProcess"/>
    <dgm:cxn modelId="{0D81A6D1-0B0D-4651-BF9A-69A85496BCC1}" type="presOf" srcId="{AC115072-5182-4146-ACF4-BF6D88F67C9D}" destId="{6D845ED8-23A0-400E-8AE4-7B881CCA11EA}" srcOrd="0" destOrd="0" presId="urn:microsoft.com/office/officeart/2011/layout/CircleProcess"/>
    <dgm:cxn modelId="{6124F1A1-7CA3-485C-953C-993605CF2C2B}" type="presOf" srcId="{F0E16F26-F286-457B-A0F7-AB9435397155}" destId="{F003DDD8-B276-42AA-B41D-C81A301C56D5}" srcOrd="1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C2BD938B-3CE2-4C5C-B034-BC84F8017B29}" type="presOf" srcId="{2238F8D5-CC3F-43A5-9442-1671B5E47041}" destId="{BA9EA12B-2A9A-434B-B755-18E23299B02B}" srcOrd="1" destOrd="0" presId="urn:microsoft.com/office/officeart/2011/layout/CircleProcess"/>
    <dgm:cxn modelId="{10349728-E0C1-4804-8430-D29EB26B5EAB}" type="presParOf" srcId="{47464031-5835-4702-8A23-894ADD4AD959}" destId="{855C8BC1-1CC0-43DD-9161-0C94452311DB}" srcOrd="0" destOrd="0" presId="urn:microsoft.com/office/officeart/2011/layout/CircleProcess"/>
    <dgm:cxn modelId="{BF4BA68C-A39C-4303-8698-86A9C0916B79}" type="presParOf" srcId="{855C8BC1-1CC0-43DD-9161-0C94452311DB}" destId="{08FF897E-E812-4C55-8166-D11DF979609C}" srcOrd="0" destOrd="0" presId="urn:microsoft.com/office/officeart/2011/layout/CircleProcess"/>
    <dgm:cxn modelId="{5B1C2AF6-231A-4DD3-A257-CDD0686540B1}" type="presParOf" srcId="{47464031-5835-4702-8A23-894ADD4AD959}" destId="{6454CEED-648E-42D5-B7CE-09ED283BDDBC}" srcOrd="1" destOrd="0" presId="urn:microsoft.com/office/officeart/2011/layout/CircleProcess"/>
    <dgm:cxn modelId="{8AB92ECF-80AE-4EAF-8E10-27E1B6267BEC}" type="presParOf" srcId="{6454CEED-648E-42D5-B7CE-09ED283BDDBC}" destId="{C370D110-C8FE-4F54-AF4F-3AE13F939685}" srcOrd="0" destOrd="0" presId="urn:microsoft.com/office/officeart/2011/layout/CircleProcess"/>
    <dgm:cxn modelId="{DD1B393E-5A82-4A77-B4DA-D3BF53162C8E}" type="presParOf" srcId="{47464031-5835-4702-8A23-894ADD4AD959}" destId="{A751EBC0-BFDC-403D-9CFD-36A29B9652EA}" srcOrd="2" destOrd="0" presId="urn:microsoft.com/office/officeart/2011/layout/CircleProcess"/>
    <dgm:cxn modelId="{4F6DD680-2EFC-45AD-911F-EAD890D46734}" type="presParOf" srcId="{47464031-5835-4702-8A23-894ADD4AD959}" destId="{1075C6EB-4EEE-480B-8DB9-2320681A6065}" srcOrd="3" destOrd="0" presId="urn:microsoft.com/office/officeart/2011/layout/CircleProcess"/>
    <dgm:cxn modelId="{842998EE-4CFB-4A05-953B-44D67A531175}" type="presParOf" srcId="{1075C6EB-4EEE-480B-8DB9-2320681A6065}" destId="{EC993C84-45E9-4065-B372-34FFD93045F5}" srcOrd="0" destOrd="0" presId="urn:microsoft.com/office/officeart/2011/layout/CircleProcess"/>
    <dgm:cxn modelId="{8EF4A3E9-E388-4FA4-B26E-5152F701F0F5}" type="presParOf" srcId="{47464031-5835-4702-8A23-894ADD4AD959}" destId="{CB7D1CA1-B2AF-4201-A8D7-55362EF6A810}" srcOrd="4" destOrd="0" presId="urn:microsoft.com/office/officeart/2011/layout/CircleProcess"/>
    <dgm:cxn modelId="{9710F000-5C75-49CA-AA50-500825042EB5}" type="presParOf" srcId="{CB7D1CA1-B2AF-4201-A8D7-55362EF6A810}" destId="{B7551989-925D-4151-BF0D-5503090491EC}" srcOrd="0" destOrd="0" presId="urn:microsoft.com/office/officeart/2011/layout/CircleProcess"/>
    <dgm:cxn modelId="{65234644-9638-4255-97FF-D765B555E396}" type="presParOf" srcId="{47464031-5835-4702-8A23-894ADD4AD959}" destId="{BA9EA12B-2A9A-434B-B755-18E23299B02B}" srcOrd="5" destOrd="0" presId="urn:microsoft.com/office/officeart/2011/layout/CircleProcess"/>
    <dgm:cxn modelId="{A5EFDF32-84B3-407E-AC6C-3667B9348793}" type="presParOf" srcId="{47464031-5835-4702-8A23-894ADD4AD959}" destId="{A4DC16DA-65E5-449E-8AE7-83795EEAF20C}" srcOrd="6" destOrd="0" presId="urn:microsoft.com/office/officeart/2011/layout/CircleProcess"/>
    <dgm:cxn modelId="{CF45D498-594D-4BAE-9DDA-73D6B3320B52}" type="presParOf" srcId="{A4DC16DA-65E5-449E-8AE7-83795EEAF20C}" destId="{C2C132EE-EA6B-49C0-BF4C-C9D6F4EAEA5C}" srcOrd="0" destOrd="0" presId="urn:microsoft.com/office/officeart/2011/layout/CircleProcess"/>
    <dgm:cxn modelId="{D8C5D2AA-7BB1-4135-9182-D178D3CEE83A}" type="presParOf" srcId="{47464031-5835-4702-8A23-894ADD4AD959}" destId="{6E6903CC-B9F0-4E02-AED0-EB6180F7BA22}" srcOrd="7" destOrd="0" presId="urn:microsoft.com/office/officeart/2011/layout/CircleProcess"/>
    <dgm:cxn modelId="{11AD88D9-54D6-40FF-AE1A-95D6D1CA2941}" type="presParOf" srcId="{6E6903CC-B9F0-4E02-AED0-EB6180F7BA22}" destId="{553EA51B-FB25-49EC-AD59-7976280634A2}" srcOrd="0" destOrd="0" presId="urn:microsoft.com/office/officeart/2011/layout/CircleProcess"/>
    <dgm:cxn modelId="{6BF13334-6AD1-405C-A2D0-6B2C313DD6B5}" type="presParOf" srcId="{47464031-5835-4702-8A23-894ADD4AD959}" destId="{F003DDD8-B276-42AA-B41D-C81A301C56D5}" srcOrd="8" destOrd="0" presId="urn:microsoft.com/office/officeart/2011/layout/CircleProcess"/>
    <dgm:cxn modelId="{1A81F570-5BAB-4B15-8029-C90E792A74A0}" type="presParOf" srcId="{47464031-5835-4702-8A23-894ADD4AD959}" destId="{16A08C81-D47F-4428-9251-1C6C6BAA8AE5}" srcOrd="9" destOrd="0" presId="urn:microsoft.com/office/officeart/2011/layout/CircleProcess"/>
    <dgm:cxn modelId="{045D39EB-8242-4D04-A909-1EF76CD6F023}" type="presParOf" srcId="{16A08C81-D47F-4428-9251-1C6C6BAA8AE5}" destId="{5BF56202-42AE-4CAB-9D7D-8F3B4C8AD508}" srcOrd="0" destOrd="0" presId="urn:microsoft.com/office/officeart/2011/layout/CircleProcess"/>
    <dgm:cxn modelId="{9990FB33-BCC4-49C6-AF54-F075619ECDF1}" type="presParOf" srcId="{47464031-5835-4702-8A23-894ADD4AD959}" destId="{8C760C47-2DF8-4351-847E-2560088AB28A}" srcOrd="10" destOrd="0" presId="urn:microsoft.com/office/officeart/2011/layout/CircleProcess"/>
    <dgm:cxn modelId="{2847167F-5E93-49A6-AEC4-A2C59122AD4C}" type="presParOf" srcId="{8C760C47-2DF8-4351-847E-2560088AB28A}" destId="{B28B89E3-12E9-4164-9C7F-A4D1A64C9659}" srcOrd="0" destOrd="0" presId="urn:microsoft.com/office/officeart/2011/layout/CircleProcess"/>
    <dgm:cxn modelId="{3EB088C4-BDE1-4B35-8DD0-4051EE655A0D}" type="presParOf" srcId="{47464031-5835-4702-8A23-894ADD4AD959}" destId="{83D743C4-8E7C-4F18-99B2-28FD158DA65D}" srcOrd="11" destOrd="0" presId="urn:microsoft.com/office/officeart/2011/layout/CircleProcess"/>
    <dgm:cxn modelId="{17728543-64ED-4ACC-A9D9-5222B670BE28}" type="presParOf" srcId="{47464031-5835-4702-8A23-894ADD4AD959}" destId="{B208B965-E259-453A-8400-5957A3463E5B}" srcOrd="12" destOrd="0" presId="urn:microsoft.com/office/officeart/2011/layout/CircleProcess"/>
    <dgm:cxn modelId="{EE8A5BF7-1FDF-4A25-9577-D4FCB1A8EE16}" type="presParOf" srcId="{B208B965-E259-453A-8400-5957A3463E5B}" destId="{A6842144-47C3-4D42-9D02-1859ED8784CB}" srcOrd="0" destOrd="0" presId="urn:microsoft.com/office/officeart/2011/layout/CircleProcess"/>
    <dgm:cxn modelId="{9F2CCE1A-B424-4E66-8710-B5DC6EDC2E39}" type="presParOf" srcId="{47464031-5835-4702-8A23-894ADD4AD959}" destId="{97E69B1A-9939-4299-9978-AC0450E84660}" srcOrd="13" destOrd="0" presId="urn:microsoft.com/office/officeart/2011/layout/CircleProcess"/>
    <dgm:cxn modelId="{ECC0A0FF-786F-4485-9013-77303CAFDD31}" type="presParOf" srcId="{97E69B1A-9939-4299-9978-AC0450E84660}" destId="{6D845ED8-23A0-400E-8AE4-7B881CCA11EA}" srcOrd="0" destOrd="0" presId="urn:microsoft.com/office/officeart/2011/layout/CircleProcess"/>
    <dgm:cxn modelId="{D815BC0A-3400-4D30-A7AD-6CC1A1251096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FECC-6C08-49AE-B594-8E28418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"Angela Kirby-Wehr" &lt;AKirby-Wehr@pattan.net&gt;</dc:creator>
  <cp:keywords>SLO Template;Educator Effectiveness</cp:keywords>
  <cp:lastModifiedBy>Bobbie Pfingstler</cp:lastModifiedBy>
  <cp:revision>2</cp:revision>
  <cp:lastPrinted>2014-05-15T12:29:00Z</cp:lastPrinted>
  <dcterms:created xsi:type="dcterms:W3CDTF">2015-12-07T02:52:00Z</dcterms:created>
  <dcterms:modified xsi:type="dcterms:W3CDTF">2015-12-07T02:52:00Z</dcterms:modified>
</cp:coreProperties>
</file>