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DBDF" w14:textId="0210563E" w:rsidR="00DB5EA9" w:rsidRPr="00BC53B3" w:rsidRDefault="005B0145" w:rsidP="00BC53B3">
      <w:pPr>
        <w:pStyle w:val="Heading1"/>
        <w:jc w:val="center"/>
        <w:rPr>
          <w:rFonts w:eastAsia="Proxima Nova"/>
          <w:b/>
          <w:bCs/>
          <w:sz w:val="40"/>
          <w:szCs w:val="40"/>
        </w:rPr>
      </w:pPr>
      <w:r w:rsidRPr="00C37B6B">
        <w:rPr>
          <w:rFonts w:eastAsia="Proxima Nova"/>
          <w:b/>
          <w:bCs/>
          <w:sz w:val="40"/>
          <w:szCs w:val="40"/>
        </w:rPr>
        <w:t xml:space="preserve">Handout 1: </w:t>
      </w:r>
      <w:r w:rsidR="00DB5EA9" w:rsidRPr="00C37B6B">
        <w:rPr>
          <w:rFonts w:eastAsia="Proxima Nova"/>
          <w:b/>
          <w:bCs/>
          <w:sz w:val="40"/>
          <w:szCs w:val="40"/>
        </w:rPr>
        <w:t>Scope &amp; Sequence of Skills-Based Health Education Standard</w:t>
      </w:r>
    </w:p>
    <w:p w14:paraId="2D429D80" w14:textId="22CB5493" w:rsidR="00A83672" w:rsidRDefault="00A83672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A83672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Grade Level</w:t>
      </w:r>
      <w:r w:rsidR="00BC53B3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(s)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A83672" w14:paraId="3381CF72" w14:textId="77777777" w:rsidTr="00EB2C6A">
        <w:tc>
          <w:tcPr>
            <w:tcW w:w="9265" w:type="dxa"/>
          </w:tcPr>
          <w:p w14:paraId="353E564E" w14:textId="64186031" w:rsidR="00A83672" w:rsidRDefault="00424991" w:rsidP="00A83672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Kindergarten</w:t>
            </w:r>
          </w:p>
        </w:tc>
      </w:tr>
    </w:tbl>
    <w:p w14:paraId="6BBD9508" w14:textId="77777777" w:rsidR="00A83672" w:rsidRPr="00A83672" w:rsidRDefault="00A83672" w:rsidP="00A83672">
      <w:pPr>
        <w:pStyle w:val="NormalWeb"/>
        <w:spacing w:before="0" w:beforeAutospacing="0" w:after="0" w:afterAutospacing="0" w:line="276" w:lineRule="auto"/>
        <w:ind w:left="72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01F1C2C3" w14:textId="688AE0DD" w:rsidR="008E7F64" w:rsidRPr="006560D1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Choose the Standard</w:t>
      </w:r>
      <w:r w:rsidR="00964680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s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(Standard Number</w:t>
      </w:r>
      <w:r w:rsidR="00964680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s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)</w:t>
      </w: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C37B6B" w14:paraId="7E8E85ED" w14:textId="77777777" w:rsidTr="00EB2C6A">
        <w:tc>
          <w:tcPr>
            <w:tcW w:w="9265" w:type="dxa"/>
          </w:tcPr>
          <w:p w14:paraId="29781370" w14:textId="0983D77E" w:rsidR="00C40F96" w:rsidRPr="00C37B6B" w:rsidRDefault="00424991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1, 5</w:t>
            </w:r>
          </w:p>
        </w:tc>
      </w:tr>
    </w:tbl>
    <w:p w14:paraId="0692B6CE" w14:textId="77777777" w:rsidR="00D539CE" w:rsidRPr="00C37B6B" w:rsidRDefault="00D539CE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762E325D" w14:textId="49CA6712" w:rsidR="0075177A" w:rsidRPr="006560D1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Choose the 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Content Area: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C37B6B" w14:paraId="42C99413" w14:textId="77777777" w:rsidTr="00EB2C6A">
        <w:tc>
          <w:tcPr>
            <w:tcW w:w="9265" w:type="dxa"/>
          </w:tcPr>
          <w:p w14:paraId="38C042A5" w14:textId="22CAC690" w:rsidR="00C40F96" w:rsidRPr="00C37B6B" w:rsidRDefault="00424991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Mental and Emotional Health</w:t>
            </w:r>
          </w:p>
        </w:tc>
      </w:tr>
    </w:tbl>
    <w:p w14:paraId="70FFDEC6" w14:textId="77777777" w:rsidR="008E7F64" w:rsidRPr="00C37B6B" w:rsidRDefault="008E7F64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0E75F03E" w14:textId="3B898761" w:rsidR="008E7F64" w:rsidRPr="006560D1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Choose Core Concepts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Outcomes</w:t>
      </w: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C40F96" w:rsidRPr="00C37B6B" w14:paraId="318350CB" w14:textId="77777777" w:rsidTr="00EB2C6A">
        <w:tc>
          <w:tcPr>
            <w:tcW w:w="9265" w:type="dxa"/>
          </w:tcPr>
          <w:p w14:paraId="4405E732" w14:textId="017FC65C" w:rsidR="00C40F96" w:rsidRPr="00C37B6B" w:rsidRDefault="00424991" w:rsidP="008E7F64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Identifies characteristics of bullying and teasing</w:t>
            </w:r>
          </w:p>
        </w:tc>
      </w:tr>
      <w:tr w:rsidR="00C40F96" w:rsidRPr="00C37B6B" w14:paraId="63B7018A" w14:textId="77777777" w:rsidTr="00EB2C6A">
        <w:tc>
          <w:tcPr>
            <w:tcW w:w="9265" w:type="dxa"/>
          </w:tcPr>
          <w:p w14:paraId="15BF373E" w14:textId="72706D20" w:rsidR="00C40F96" w:rsidRPr="00C37B6B" w:rsidRDefault="00424991" w:rsidP="008E7F64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 xml:space="preserve">Explain why it’s wrong </w:t>
            </w:r>
            <w:r w:rsidR="0085024B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to bully or tease others</w:t>
            </w:r>
          </w:p>
        </w:tc>
      </w:tr>
      <w:tr w:rsidR="00C40F96" w:rsidRPr="00C37B6B" w14:paraId="18AE356A" w14:textId="77777777" w:rsidTr="00EB2C6A">
        <w:tc>
          <w:tcPr>
            <w:tcW w:w="9265" w:type="dxa"/>
          </w:tcPr>
          <w:p w14:paraId="7EC2F7ED" w14:textId="77777777" w:rsidR="00C40F96" w:rsidRPr="00C37B6B" w:rsidRDefault="00C40F96" w:rsidP="008E7F64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23E77037" w14:textId="77777777" w:rsidR="0075177A" w:rsidRPr="00C37B6B" w:rsidRDefault="0075177A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2ACBEDEE" w14:textId="371369A9" w:rsidR="0075177A" w:rsidRPr="006560D1" w:rsidRDefault="00DB5EA9" w:rsidP="00EB2C6A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27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Choose </w:t>
      </w:r>
      <w:r w:rsidR="00EF5AE6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Health Literacy Skills &amp;</w:t>
      </w: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Outcomes</w:t>
      </w:r>
      <w:r w:rsidR="00D539CE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(List Health Literacy Skill for Each Outcome – Be Realistic)</w:t>
      </w: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40F96" w:rsidRPr="00C37B6B" w14:paraId="73737F93" w14:textId="77777777" w:rsidTr="00C40F96">
        <w:tc>
          <w:tcPr>
            <w:tcW w:w="4225" w:type="dxa"/>
          </w:tcPr>
          <w:p w14:paraId="62FC1A10" w14:textId="10A24992" w:rsidR="00C40F96" w:rsidRPr="00C37B6B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C37B6B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</w:t>
            </w:r>
          </w:p>
        </w:tc>
        <w:tc>
          <w:tcPr>
            <w:tcW w:w="5125" w:type="dxa"/>
          </w:tcPr>
          <w:p w14:paraId="7C80C787" w14:textId="14AB33B7" w:rsidR="00C40F96" w:rsidRPr="00C37B6B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C37B6B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 Outcomes</w:t>
            </w:r>
          </w:p>
        </w:tc>
      </w:tr>
      <w:tr w:rsidR="00C40F96" w:rsidRPr="00C37B6B" w14:paraId="2944E470" w14:textId="77777777" w:rsidTr="00C40F96">
        <w:tc>
          <w:tcPr>
            <w:tcW w:w="4225" w:type="dxa"/>
          </w:tcPr>
          <w:p w14:paraId="30F21C38" w14:textId="463E34B1" w:rsidR="00C40F96" w:rsidRPr="00C37B6B" w:rsidRDefault="0085024B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Decision-Making</w:t>
            </w:r>
          </w:p>
        </w:tc>
        <w:tc>
          <w:tcPr>
            <w:tcW w:w="5125" w:type="dxa"/>
          </w:tcPr>
          <w:p w14:paraId="533166E3" w14:textId="1C750D7C" w:rsidR="00C40F96" w:rsidRPr="00C37B6B" w:rsidRDefault="0085024B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Explains the potential positive and negative outcomes from decisions related to mental and emotional wellbeing</w:t>
            </w:r>
          </w:p>
        </w:tc>
      </w:tr>
      <w:tr w:rsidR="00C40F96" w:rsidRPr="00C37B6B" w14:paraId="0F1FE3D6" w14:textId="77777777" w:rsidTr="00C40F96">
        <w:tc>
          <w:tcPr>
            <w:tcW w:w="4225" w:type="dxa"/>
          </w:tcPr>
          <w:p w14:paraId="52FC6B96" w14:textId="77777777" w:rsidR="00C40F96" w:rsidRPr="00C37B6B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  <w:tc>
          <w:tcPr>
            <w:tcW w:w="5125" w:type="dxa"/>
          </w:tcPr>
          <w:p w14:paraId="38B83D99" w14:textId="77777777" w:rsidR="00C40F96" w:rsidRPr="00C37B6B" w:rsidRDefault="00C40F96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  <w:tr w:rsidR="00A77BAE" w:rsidRPr="00C37B6B" w14:paraId="0DBA7B39" w14:textId="77777777" w:rsidTr="00C40F96">
        <w:tc>
          <w:tcPr>
            <w:tcW w:w="4225" w:type="dxa"/>
          </w:tcPr>
          <w:p w14:paraId="3347BD9B" w14:textId="77777777" w:rsidR="00A77BAE" w:rsidRPr="00C37B6B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  <w:tc>
          <w:tcPr>
            <w:tcW w:w="5125" w:type="dxa"/>
          </w:tcPr>
          <w:p w14:paraId="6241B49B" w14:textId="77777777" w:rsidR="00A77BAE" w:rsidRPr="00C37B6B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  <w:tr w:rsidR="00A77BAE" w:rsidRPr="00C37B6B" w14:paraId="6B6DCF59" w14:textId="77777777" w:rsidTr="00C40F96">
        <w:tc>
          <w:tcPr>
            <w:tcW w:w="4225" w:type="dxa"/>
          </w:tcPr>
          <w:p w14:paraId="1F3A1CA8" w14:textId="77777777" w:rsidR="00A77BAE" w:rsidRPr="00C37B6B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  <w:tc>
          <w:tcPr>
            <w:tcW w:w="5125" w:type="dxa"/>
          </w:tcPr>
          <w:p w14:paraId="136A2DDA" w14:textId="77777777" w:rsidR="00A77BAE" w:rsidRPr="00C37B6B" w:rsidRDefault="00A77BAE" w:rsidP="0075177A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29FF3625" w14:textId="2973C906" w:rsidR="006560D1" w:rsidRDefault="00DB5EA9" w:rsidP="0085024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 </w:t>
      </w:r>
      <w:r w:rsidR="006560D1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br w:type="page"/>
      </w:r>
    </w:p>
    <w:p w14:paraId="0F420C1B" w14:textId="03D03ED2" w:rsidR="00C40F96" w:rsidRPr="00C37B6B" w:rsidRDefault="0048545A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lastRenderedPageBreak/>
        <w:t>6.</w:t>
      </w:r>
      <w:r w:rsidR="00DB5EA9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Scope &amp; Sequence of Core Concepts and Skill Outcomes</w:t>
      </w:r>
      <w:r w:rsidR="00F50CF0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– Sequencing Numbers</w:t>
      </w:r>
      <w:r w:rsidR="00815C48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 4 and </w:t>
      </w:r>
      <w:r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5</w:t>
      </w:r>
      <w:r w:rsidR="00DB5EA9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 xml:space="preserve">: </w:t>
      </w:r>
    </w:p>
    <w:p w14:paraId="1FE735E5" w14:textId="27030EF7" w:rsidR="00C40F96" w:rsidRPr="00C37B6B" w:rsidRDefault="00C40F96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45A" w14:paraId="2C2F02DC" w14:textId="77777777" w:rsidTr="003333DD">
        <w:tc>
          <w:tcPr>
            <w:tcW w:w="9350" w:type="dxa"/>
          </w:tcPr>
          <w:p w14:paraId="6B11FD4A" w14:textId="7682F9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Core Concept</w:t>
            </w: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 xml:space="preserve"> Outcomes</w:t>
            </w:r>
          </w:p>
        </w:tc>
      </w:tr>
      <w:tr w:rsidR="0048545A" w14:paraId="28632A1B" w14:textId="77777777" w:rsidTr="003333DD">
        <w:tc>
          <w:tcPr>
            <w:tcW w:w="9350" w:type="dxa"/>
          </w:tcPr>
          <w:p w14:paraId="228D78E2" w14:textId="36AA2580" w:rsidR="0048545A" w:rsidRDefault="00B064E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Identifies characteristics of bullying and teasing</w:t>
            </w:r>
          </w:p>
        </w:tc>
      </w:tr>
      <w:tr w:rsidR="0048545A" w14:paraId="2EBB5B50" w14:textId="77777777" w:rsidTr="003333DD">
        <w:tc>
          <w:tcPr>
            <w:tcW w:w="9350" w:type="dxa"/>
          </w:tcPr>
          <w:p w14:paraId="7F530387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64AADCE9" w14:textId="77777777" w:rsidR="0048545A" w:rsidRDefault="0048545A" w:rsidP="0048545A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45A" w14:paraId="6515F75D" w14:textId="77777777" w:rsidTr="003333DD">
        <w:tc>
          <w:tcPr>
            <w:tcW w:w="9350" w:type="dxa"/>
          </w:tcPr>
          <w:p w14:paraId="09E9B01D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 Outcomes</w:t>
            </w:r>
          </w:p>
        </w:tc>
      </w:tr>
      <w:tr w:rsidR="0048545A" w14:paraId="4F54FD02" w14:textId="77777777" w:rsidTr="003333DD">
        <w:tc>
          <w:tcPr>
            <w:tcW w:w="9350" w:type="dxa"/>
          </w:tcPr>
          <w:p w14:paraId="16BF98C8" w14:textId="4D0C3E8F" w:rsidR="0048545A" w:rsidRDefault="00B064E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Explains the potential positive and negative outcomes from decisions related to mental and emotional wellbeing</w:t>
            </w:r>
          </w:p>
        </w:tc>
      </w:tr>
      <w:tr w:rsidR="0048545A" w14:paraId="2E981945" w14:textId="77777777" w:rsidTr="003333DD">
        <w:tc>
          <w:tcPr>
            <w:tcW w:w="9350" w:type="dxa"/>
          </w:tcPr>
          <w:p w14:paraId="0A7B1317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1E8F0D93" w14:textId="77777777" w:rsidR="00C40F96" w:rsidRPr="00C37B6B" w:rsidRDefault="00C40F96" w:rsidP="00DB5EA9">
      <w:pPr>
        <w:pStyle w:val="NormalWeb"/>
        <w:spacing w:before="0" w:beforeAutospacing="0" w:after="0" w:afterAutospacing="0" w:line="276" w:lineRule="auto"/>
        <w:rPr>
          <w:sz w:val="32"/>
          <w:szCs w:val="32"/>
        </w:rPr>
      </w:pPr>
    </w:p>
    <w:p w14:paraId="0C7ADB47" w14:textId="77D35052" w:rsidR="00C40F96" w:rsidRDefault="00C40F96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C48" w14:paraId="665DE6B9" w14:textId="77777777" w:rsidTr="003D10AD">
        <w:tc>
          <w:tcPr>
            <w:tcW w:w="9350" w:type="dxa"/>
          </w:tcPr>
          <w:p w14:paraId="0FB67973" w14:textId="403464AC" w:rsidR="00815C48" w:rsidRDefault="00815C48" w:rsidP="00DB5EA9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Core Concept</w:t>
            </w:r>
            <w:r w:rsidR="0048545A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 xml:space="preserve"> Outcomes</w:t>
            </w:r>
          </w:p>
        </w:tc>
      </w:tr>
      <w:tr w:rsidR="00815C48" w14:paraId="4ABECF90" w14:textId="77777777" w:rsidTr="00BD574D">
        <w:tc>
          <w:tcPr>
            <w:tcW w:w="9350" w:type="dxa"/>
          </w:tcPr>
          <w:p w14:paraId="4FA3674D" w14:textId="159E9F03" w:rsidR="00815C48" w:rsidRDefault="00B064EA" w:rsidP="00DB5EA9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Explain why it’s wrong to bully or tease others</w:t>
            </w:r>
          </w:p>
        </w:tc>
      </w:tr>
      <w:tr w:rsidR="00815C48" w14:paraId="2B3ED257" w14:textId="77777777" w:rsidTr="00BD574D">
        <w:tc>
          <w:tcPr>
            <w:tcW w:w="9350" w:type="dxa"/>
          </w:tcPr>
          <w:p w14:paraId="7DD68F27" w14:textId="77777777" w:rsidR="00815C48" w:rsidRDefault="00815C48" w:rsidP="00DB5EA9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2F9A7230" w14:textId="77777777" w:rsidR="00815C48" w:rsidRDefault="00815C48" w:rsidP="00DB5EA9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5C48" w14:paraId="02B59899" w14:textId="77777777" w:rsidTr="003333DD">
        <w:tc>
          <w:tcPr>
            <w:tcW w:w="9350" w:type="dxa"/>
          </w:tcPr>
          <w:p w14:paraId="5C9CB416" w14:textId="3B64C5E8" w:rsidR="00815C48" w:rsidRDefault="00815C48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 Outcomes</w:t>
            </w:r>
          </w:p>
        </w:tc>
      </w:tr>
      <w:tr w:rsidR="00815C48" w14:paraId="583A8293" w14:textId="77777777" w:rsidTr="003333DD">
        <w:tc>
          <w:tcPr>
            <w:tcW w:w="9350" w:type="dxa"/>
          </w:tcPr>
          <w:p w14:paraId="0BABC894" w14:textId="69C8C40C" w:rsidR="00815C48" w:rsidRDefault="00B064E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Explains the potential positive and negative outcomes from decisions related to mental and emotional wellbeing</w:t>
            </w:r>
          </w:p>
        </w:tc>
      </w:tr>
      <w:tr w:rsidR="00815C48" w14:paraId="7D16F9E3" w14:textId="77777777" w:rsidTr="003333DD">
        <w:tc>
          <w:tcPr>
            <w:tcW w:w="9350" w:type="dxa"/>
          </w:tcPr>
          <w:p w14:paraId="2A904E42" w14:textId="77777777" w:rsidR="00815C48" w:rsidRDefault="00815C48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1E7A3998" w14:textId="77777777" w:rsidR="00FE074C" w:rsidRPr="00C37B6B" w:rsidRDefault="00FE074C">
      <w:pPr>
        <w:rPr>
          <w:sz w:val="20"/>
          <w:szCs w:val="20"/>
        </w:rPr>
      </w:pPr>
    </w:p>
    <w:p w14:paraId="7AED3A1F" w14:textId="0C2393C7" w:rsidR="00C40F96" w:rsidRDefault="00C40F96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45A" w14:paraId="558A0F92" w14:textId="77777777" w:rsidTr="003333DD">
        <w:tc>
          <w:tcPr>
            <w:tcW w:w="9350" w:type="dxa"/>
          </w:tcPr>
          <w:p w14:paraId="7937321A" w14:textId="714A1F18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Core Concept</w:t>
            </w: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 xml:space="preserve"> Outcomes</w:t>
            </w:r>
          </w:p>
        </w:tc>
      </w:tr>
      <w:tr w:rsidR="0048545A" w14:paraId="6961BA0F" w14:textId="77777777" w:rsidTr="003333DD">
        <w:tc>
          <w:tcPr>
            <w:tcW w:w="9350" w:type="dxa"/>
          </w:tcPr>
          <w:p w14:paraId="2C844542" w14:textId="7CAD839D" w:rsidR="0048545A" w:rsidRDefault="00B064E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Explain why it’s wrong to bully or tease others</w:t>
            </w:r>
          </w:p>
        </w:tc>
      </w:tr>
      <w:tr w:rsidR="0048545A" w14:paraId="5A0EA842" w14:textId="77777777" w:rsidTr="003333DD">
        <w:tc>
          <w:tcPr>
            <w:tcW w:w="9350" w:type="dxa"/>
          </w:tcPr>
          <w:p w14:paraId="652BBD6B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7F59C583" w14:textId="77777777" w:rsidR="0048545A" w:rsidRDefault="0048545A" w:rsidP="0048545A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545A" w14:paraId="0D318390" w14:textId="77777777" w:rsidTr="003333DD">
        <w:tc>
          <w:tcPr>
            <w:tcW w:w="9350" w:type="dxa"/>
          </w:tcPr>
          <w:p w14:paraId="31FB351E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Health Literacy Skill Outcomes</w:t>
            </w:r>
          </w:p>
        </w:tc>
      </w:tr>
      <w:tr w:rsidR="0048545A" w14:paraId="33DF5BA2" w14:textId="77777777" w:rsidTr="003333DD">
        <w:tc>
          <w:tcPr>
            <w:tcW w:w="9350" w:type="dxa"/>
          </w:tcPr>
          <w:p w14:paraId="3F90DF9D" w14:textId="5615E0DE" w:rsidR="0048545A" w:rsidRDefault="00B064E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lastRenderedPageBreak/>
              <w:t>Explains the potential positive and negative outcomes from decisions related to mental and emotional wellbeing</w:t>
            </w:r>
          </w:p>
        </w:tc>
      </w:tr>
      <w:tr w:rsidR="0048545A" w14:paraId="7ED4D7C6" w14:textId="77777777" w:rsidTr="003333DD">
        <w:tc>
          <w:tcPr>
            <w:tcW w:w="9350" w:type="dxa"/>
          </w:tcPr>
          <w:p w14:paraId="1ACB2846" w14:textId="77777777" w:rsidR="0048545A" w:rsidRDefault="0048545A" w:rsidP="003333D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</w:p>
        </w:tc>
      </w:tr>
    </w:tbl>
    <w:p w14:paraId="6A438AF6" w14:textId="77777777" w:rsidR="0048545A" w:rsidRDefault="0048545A" w:rsidP="00C40F96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587C3FD8" w14:textId="4B7CC330" w:rsidR="00191CC3" w:rsidRPr="00C37B6B" w:rsidRDefault="00191CC3" w:rsidP="0048545A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360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Assessment</w:t>
      </w:r>
      <w:r w:rsidR="00C37B6B"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: How do we know whether this student was successful?</w:t>
      </w:r>
    </w:p>
    <w:p w14:paraId="5A60BA90" w14:textId="38E917C3" w:rsidR="00C37B6B" w:rsidRPr="00C37B6B" w:rsidRDefault="00C37B6B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B6B" w:rsidRPr="00C37B6B" w14:paraId="6210476D" w14:textId="77777777" w:rsidTr="00C37B6B">
        <w:tc>
          <w:tcPr>
            <w:tcW w:w="9350" w:type="dxa"/>
          </w:tcPr>
          <w:p w14:paraId="69905B6D" w14:textId="3370C5E0" w:rsidR="00C37B6B" w:rsidRPr="00C37B6B" w:rsidRDefault="000A50BE" w:rsidP="00C37B6B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7F33BD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Explains two verbal examples of decisions they have made that day.</w:t>
            </w:r>
          </w:p>
        </w:tc>
      </w:tr>
    </w:tbl>
    <w:p w14:paraId="493FE5B1" w14:textId="255546FA" w:rsidR="00C37B6B" w:rsidRPr="00C37B6B" w:rsidRDefault="00C37B6B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B6B" w:rsidRPr="00C37B6B" w14:paraId="532D80BE" w14:textId="77777777" w:rsidTr="00C37B6B">
        <w:tc>
          <w:tcPr>
            <w:tcW w:w="9350" w:type="dxa"/>
          </w:tcPr>
          <w:p w14:paraId="4A5FAAEF" w14:textId="75CCF7F4" w:rsidR="00C37B6B" w:rsidRPr="00C37B6B" w:rsidRDefault="00F4570E" w:rsidP="007F33BD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7F33BD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Explain how a different choice would have had a different outcome.</w:t>
            </w:r>
          </w:p>
        </w:tc>
      </w:tr>
    </w:tbl>
    <w:p w14:paraId="04453B0D" w14:textId="4F7F962A" w:rsidR="00C37B6B" w:rsidRPr="00C37B6B" w:rsidRDefault="00C37B6B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 w:rsidRPr="00C37B6B"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Lesson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7B6B" w:rsidRPr="00C37B6B" w14:paraId="78DD9A96" w14:textId="77777777" w:rsidTr="00C37B6B">
        <w:tc>
          <w:tcPr>
            <w:tcW w:w="9350" w:type="dxa"/>
          </w:tcPr>
          <w:p w14:paraId="049590B8" w14:textId="1619EF97" w:rsidR="00C37B6B" w:rsidRPr="00C37B6B" w:rsidRDefault="007F33BD" w:rsidP="00C37B6B">
            <w:pPr>
              <w:pStyle w:val="NormalWeb"/>
              <w:spacing w:before="0" w:beforeAutospacing="0" w:after="0" w:afterAutospacing="0" w:line="276" w:lineRule="auto"/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</w:pPr>
            <w:r w:rsidRPr="007F33BD">
              <w:rPr>
                <w:rFonts w:ascii="Proxima Nova" w:eastAsia="Proxima Nova" w:hAnsi="Proxima Nova" w:cs="Proxima Nova"/>
                <w:b/>
                <w:bCs/>
                <w:color w:val="44546A" w:themeColor="dark2"/>
                <w:sz w:val="34"/>
                <w:szCs w:val="34"/>
              </w:rPr>
              <w:t>Given a role-playing scenario, the student will be able to list possible choices and their outcomes and rate them as positive or negative.</w:t>
            </w:r>
          </w:p>
        </w:tc>
      </w:tr>
    </w:tbl>
    <w:p w14:paraId="4EEF4D72" w14:textId="77777777" w:rsidR="00C37B6B" w:rsidRDefault="00C37B6B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388FCEEF" w14:textId="77777777" w:rsidR="007F33BD" w:rsidRDefault="007F33BD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</w:p>
    <w:p w14:paraId="7862AA35" w14:textId="32278A1B" w:rsidR="007F33BD" w:rsidRDefault="007F33BD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H. Holl and G. Clark</w:t>
      </w:r>
    </w:p>
    <w:p w14:paraId="7B1D127F" w14:textId="2B6CF472" w:rsidR="007F33BD" w:rsidRPr="00C37B6B" w:rsidRDefault="007F33BD" w:rsidP="00C37B6B">
      <w:pPr>
        <w:pStyle w:val="NormalWeb"/>
        <w:spacing w:before="0" w:beforeAutospacing="0" w:after="0" w:afterAutospacing="0" w:line="276" w:lineRule="auto"/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</w:pPr>
      <w:r>
        <w:rPr>
          <w:rFonts w:ascii="Proxima Nova" w:eastAsia="Proxima Nova" w:hAnsi="Proxima Nova" w:cs="Proxima Nova"/>
          <w:b/>
          <w:bCs/>
          <w:color w:val="44546A" w:themeColor="dark2"/>
          <w:sz w:val="34"/>
          <w:szCs w:val="34"/>
        </w:rPr>
        <w:t>Slippery Rock University</w:t>
      </w:r>
    </w:p>
    <w:sectPr w:rsidR="007F33BD" w:rsidRPr="00C37B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5823" w14:textId="77777777" w:rsidR="00996B98" w:rsidRDefault="00996B98" w:rsidP="00D539CE">
      <w:pPr>
        <w:spacing w:after="0" w:line="240" w:lineRule="auto"/>
      </w:pPr>
      <w:r>
        <w:separator/>
      </w:r>
    </w:p>
  </w:endnote>
  <w:endnote w:type="continuationSeparator" w:id="0">
    <w:p w14:paraId="4EC4744F" w14:textId="77777777" w:rsidR="00996B98" w:rsidRDefault="00996B98" w:rsidP="00D5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1AE4" w14:textId="77777777" w:rsidR="00996B98" w:rsidRDefault="00996B98" w:rsidP="00D539CE">
      <w:pPr>
        <w:spacing w:after="0" w:line="240" w:lineRule="auto"/>
      </w:pPr>
      <w:r>
        <w:separator/>
      </w:r>
    </w:p>
  </w:footnote>
  <w:footnote w:type="continuationSeparator" w:id="0">
    <w:p w14:paraId="63C20C9E" w14:textId="77777777" w:rsidR="00996B98" w:rsidRDefault="00996B98" w:rsidP="00D5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2D19" w14:textId="4B9EE931" w:rsidR="00D539CE" w:rsidRPr="00D539CE" w:rsidRDefault="00D539CE">
    <w:pPr>
      <w:pStyle w:val="Header"/>
      <w:rPr>
        <w:rFonts w:cstheme="minorHAnsi"/>
      </w:rPr>
    </w:pPr>
    <w:r w:rsidRPr="001C434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D152E18" wp14:editId="0095FA08">
          <wp:simplePos x="0" y="0"/>
          <wp:positionH relativeFrom="column">
            <wp:posOffset>4457700</wp:posOffset>
          </wp:positionH>
          <wp:positionV relativeFrom="paragraph">
            <wp:posOffset>-285750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B">
      <w:rPr>
        <w:rFonts w:cstheme="minorHAnsi"/>
      </w:rPr>
      <w:t xml:space="preserve">PA Health and Physical Education </w:t>
    </w:r>
    <w:r w:rsidRPr="001C434B">
      <w:rPr>
        <w:rFonts w:cstheme="minorHAnsi"/>
      </w:rPr>
      <w:br/>
      <w:t>PreK-12 Knowledge and Skills-Based Outcomes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17D6"/>
    <w:multiLevelType w:val="hybridMultilevel"/>
    <w:tmpl w:val="67DCC8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1E7464"/>
    <w:multiLevelType w:val="hybridMultilevel"/>
    <w:tmpl w:val="1DF2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7435"/>
    <w:multiLevelType w:val="hybridMultilevel"/>
    <w:tmpl w:val="4E22BE28"/>
    <w:lvl w:ilvl="0" w:tplc="D542FB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51628"/>
    <w:multiLevelType w:val="hybridMultilevel"/>
    <w:tmpl w:val="8E54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5143">
    <w:abstractNumId w:val="3"/>
  </w:num>
  <w:num w:numId="2" w16cid:durableId="255991007">
    <w:abstractNumId w:val="0"/>
  </w:num>
  <w:num w:numId="3" w16cid:durableId="1767579627">
    <w:abstractNumId w:val="1"/>
  </w:num>
  <w:num w:numId="4" w16cid:durableId="186337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A9"/>
    <w:rsid w:val="000A50BE"/>
    <w:rsid w:val="00191CC3"/>
    <w:rsid w:val="00424991"/>
    <w:rsid w:val="0048545A"/>
    <w:rsid w:val="005B0145"/>
    <w:rsid w:val="00654221"/>
    <w:rsid w:val="006560D1"/>
    <w:rsid w:val="0075177A"/>
    <w:rsid w:val="007F33BD"/>
    <w:rsid w:val="00815C48"/>
    <w:rsid w:val="0085024B"/>
    <w:rsid w:val="008E7F64"/>
    <w:rsid w:val="00964680"/>
    <w:rsid w:val="00996B98"/>
    <w:rsid w:val="00A77BAE"/>
    <w:rsid w:val="00A83672"/>
    <w:rsid w:val="00B064EA"/>
    <w:rsid w:val="00BC53B3"/>
    <w:rsid w:val="00C37B6B"/>
    <w:rsid w:val="00C40F96"/>
    <w:rsid w:val="00D539CE"/>
    <w:rsid w:val="00DB5EA9"/>
    <w:rsid w:val="00EB2C6A"/>
    <w:rsid w:val="00EF5AE6"/>
    <w:rsid w:val="00F4570E"/>
    <w:rsid w:val="00F50CF0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F1B9"/>
  <w15:chartTrackingRefBased/>
  <w15:docId w15:val="{0899E1F7-B6C3-4D31-BFD9-B59C1A0F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CE"/>
  </w:style>
  <w:style w:type="paragraph" w:styleId="Footer">
    <w:name w:val="footer"/>
    <w:basedOn w:val="Normal"/>
    <w:link w:val="FooterChar"/>
    <w:uiPriority w:val="99"/>
    <w:unhideWhenUsed/>
    <w:rsid w:val="00D5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CE"/>
  </w:style>
  <w:style w:type="table" w:styleId="TableGrid">
    <w:name w:val="Table Grid"/>
    <w:basedOn w:val="TableNormal"/>
    <w:uiPriority w:val="39"/>
    <w:rsid w:val="00C4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Razzano</dc:creator>
  <cp:keywords/>
  <dc:description/>
  <cp:lastModifiedBy>Rudella, Jennifer L. (jlr1147)</cp:lastModifiedBy>
  <cp:revision>8</cp:revision>
  <dcterms:created xsi:type="dcterms:W3CDTF">2022-08-02T19:46:00Z</dcterms:created>
  <dcterms:modified xsi:type="dcterms:W3CDTF">2022-08-02T19:49:00Z</dcterms:modified>
</cp:coreProperties>
</file>